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3B" w:rsidRPr="00486002" w:rsidRDefault="00486002" w:rsidP="00D31A20">
      <w:pPr>
        <w:pStyle w:val="DanaNejedlov-Nadpis"/>
      </w:pPr>
      <w:r w:rsidRPr="00486002">
        <w:t>Domácí úkol</w:t>
      </w:r>
    </w:p>
    <w:p w:rsidR="00486002" w:rsidRDefault="00486002" w:rsidP="00F60C67">
      <w:pPr>
        <w:pStyle w:val="DanaNejedlov-Text"/>
        <w:tabs>
          <w:tab w:val="right" w:pos="9072"/>
        </w:tabs>
      </w:pPr>
      <w:r>
        <w:t>Vypracovala: Dana Nejedlová</w:t>
      </w:r>
      <w:r>
        <w:tab/>
        <w:t xml:space="preserve">Datum: </w:t>
      </w:r>
      <w:r w:rsidR="003F6D49">
        <w:t>5</w:t>
      </w:r>
      <w:r>
        <w:t xml:space="preserve">. </w:t>
      </w:r>
      <w:r w:rsidR="003E1FA4">
        <w:t>l</w:t>
      </w:r>
      <w:r w:rsidR="003F6D49">
        <w:t>edna</w:t>
      </w:r>
      <w:r>
        <w:t xml:space="preserve"> 20</w:t>
      </w:r>
      <w:r w:rsidR="00F95FCF">
        <w:t>2</w:t>
      </w:r>
      <w:r w:rsidR="003F6D49">
        <w:t>4</w:t>
      </w:r>
    </w:p>
    <w:p w:rsidR="00080CFF" w:rsidRDefault="00563F2A" w:rsidP="00C704BB">
      <w:pPr>
        <w:pStyle w:val="DanaNejedlov-slovanpodnadpis"/>
      </w:pPr>
      <w:r>
        <w:t>Zadání</w:t>
      </w:r>
    </w:p>
    <w:p w:rsidR="00DE7CDD" w:rsidRDefault="0029333D" w:rsidP="009B66E2">
      <w:pPr>
        <w:pStyle w:val="DanaNejedlov-Text"/>
      </w:pPr>
      <w:r>
        <w:t xml:space="preserve">Mé </w:t>
      </w:r>
      <w:r w:rsidR="00DE7CDD">
        <w:t>zadání jsem dostala v souboru „</w:t>
      </w:r>
      <w:r w:rsidR="00124FC4">
        <w:t>00</w:t>
      </w:r>
      <w:r w:rsidR="00B90FFF" w:rsidRPr="00B90FFF">
        <w:t>.</w:t>
      </w:r>
      <w:r w:rsidR="00124FC4">
        <w:t>xlsx</w:t>
      </w:r>
      <w:r w:rsidR="00DE7CDD">
        <w:t>“ a zde jsou výsledky.</w:t>
      </w:r>
    </w:p>
    <w:p w:rsidR="005C0E71" w:rsidRDefault="005C0E71" w:rsidP="00685437">
      <w:pPr>
        <w:pStyle w:val="DanaNejedlov-slovanpodnadpis"/>
      </w:pPr>
      <w:r>
        <w:t>Výsledky</w:t>
      </w:r>
    </w:p>
    <w:p w:rsidR="009E709D" w:rsidRPr="009E709D" w:rsidRDefault="00EB190B" w:rsidP="005C0E71">
      <w:pPr>
        <w:pStyle w:val="DanaNejedlov-slovanpodnadpis"/>
        <w:numPr>
          <w:ilvl w:val="1"/>
          <w:numId w:val="17"/>
        </w:numPr>
      </w:pPr>
      <w:r>
        <w:t>Produktivita práce</w:t>
      </w:r>
    </w:p>
    <w:p w:rsidR="00EB190B" w:rsidRDefault="002F1663" w:rsidP="00EB190B">
      <w:pPr>
        <w:pStyle w:val="DanaNejedlov-Text"/>
      </w:pPr>
      <w:r>
        <w:fldChar w:fldCharType="begin"/>
      </w:r>
      <w:r>
        <w:instrText xml:space="preserve"> REF _Ref155094955 \r \h </w:instrText>
      </w:r>
      <w:r>
        <w:fldChar w:fldCharType="separate"/>
      </w:r>
      <w:r w:rsidR="00A600B3">
        <w:t>Tab. 1</w:t>
      </w:r>
      <w:r>
        <w:fldChar w:fldCharType="end"/>
      </w:r>
      <w:r w:rsidR="00EB190B">
        <w:t xml:space="preserve"> </w:t>
      </w:r>
      <w:r w:rsidR="00EB190B" w:rsidRPr="00331B42">
        <w:t xml:space="preserve">zobrazuje </w:t>
      </w:r>
      <w:r w:rsidR="00EB190B">
        <w:t xml:space="preserve">produktivitu práce </w:t>
      </w:r>
      <w:r>
        <w:t xml:space="preserve">rovnou podílu výsledku hospodaření a počtu pracovníků </w:t>
      </w:r>
      <w:r w:rsidR="00EB190B">
        <w:t>za všechny pondělky roku 2000</w:t>
      </w:r>
      <w:r w:rsidR="00EB190B" w:rsidRPr="00331B42">
        <w:t>.</w:t>
      </w:r>
    </w:p>
    <w:p w:rsidR="00F64E88" w:rsidRDefault="00F64E88" w:rsidP="00EB190B">
      <w:pPr>
        <w:pStyle w:val="DanaNejedlov-Popistabulky"/>
        <w:numPr>
          <w:ilvl w:val="0"/>
          <w:numId w:val="1"/>
        </w:numPr>
        <w:ind w:left="851" w:hanging="851"/>
      </w:pPr>
      <w:bookmarkStart w:id="0" w:name="_Ref155094955"/>
      <w:r>
        <w:t>Produktivita práce v pondělí v roce 2000</w:t>
      </w:r>
      <w:bookmarkEnd w:id="0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4"/>
        <w:gridCol w:w="691"/>
        <w:gridCol w:w="938"/>
        <w:gridCol w:w="1034"/>
        <w:gridCol w:w="979"/>
        <w:gridCol w:w="733"/>
        <w:gridCol w:w="605"/>
        <w:gridCol w:w="607"/>
        <w:gridCol w:w="1258"/>
      </w:tblGrid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Den týdne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pondělí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64E88" w:rsidRPr="00F64E88" w:rsidTr="003E20D7">
        <w:trPr>
          <w:trHeight w:val="300"/>
        </w:trPr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Součet z </w:t>
            </w:r>
            <w:proofErr w:type="gramStart"/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Produktivita</w:t>
            </w:r>
            <w:proofErr w:type="gramEnd"/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Služba</w:t>
            </w: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F64E88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Měsíc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hlídání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ošetřování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poradenství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sběr plodin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údržba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úklid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výcvik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Celkový součet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-63,40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1284,17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671,64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131,50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59,56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53,75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-71,67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15,38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85,67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16,83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52,50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38,22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-73,50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-17,82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38,20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1,70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-29,88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74,50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25,83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47,69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26,73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22,57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-38,93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-9,24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179,00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129,25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368,77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-46,80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-36,20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148,04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-36,30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792,00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6,71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-36,38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185,67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-25,00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-54,80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47,80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-16,00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-20,38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-6,31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-20,33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FF0000"/>
                <w:sz w:val="18"/>
                <w:szCs w:val="18"/>
              </w:rPr>
              <w:t>-13,82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795,50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FFFFFF"/>
                <w:sz w:val="18"/>
                <w:szCs w:val="18"/>
              </w:rPr>
            </w:pPr>
            <w:r w:rsidRPr="00F64E88">
              <w:rPr>
                <w:rFonts w:ascii="Calibri" w:hAnsi="Calibri"/>
                <w:color w:val="FFFFFF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33,89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color w:val="000000"/>
                <w:sz w:val="18"/>
                <w:szCs w:val="18"/>
              </w:rPr>
              <w:t>268,23</w:t>
            </w:r>
          </w:p>
        </w:tc>
      </w:tr>
      <w:tr w:rsidR="00EB190B" w:rsidRPr="00F64E88" w:rsidTr="003E20D7">
        <w:trPr>
          <w:trHeight w:val="300"/>
        </w:trPr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Celkový součet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  <w:t>-38,60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89,76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526,10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64,89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119,31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15,46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FF0000"/>
                <w:sz w:val="18"/>
                <w:szCs w:val="18"/>
              </w:rPr>
              <w:t>-23,47</w:t>
            </w:r>
          </w:p>
        </w:tc>
        <w:tc>
          <w:tcPr>
            <w:tcW w:w="0" w:type="auto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EB190B" w:rsidRPr="00F64E88" w:rsidRDefault="00EB190B" w:rsidP="003E20D7">
            <w:pPr>
              <w:keepNext/>
              <w:jc w:val="righ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64E8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87,44</w:t>
            </w:r>
          </w:p>
        </w:tc>
      </w:tr>
    </w:tbl>
    <w:p w:rsidR="00EB190B" w:rsidRDefault="00F64E88" w:rsidP="00F64E88">
      <w:pPr>
        <w:pStyle w:val="DanaNejedlov-Zdrojtabulkyneboobrzku"/>
      </w:pPr>
      <w:r>
        <w:t>Zdroj: Vlastní vypracování</w:t>
      </w:r>
      <w:r w:rsidR="000949BE" w:rsidRPr="000949BE">
        <w:t xml:space="preserve"> </w:t>
      </w:r>
      <w:r w:rsidR="000949BE">
        <w:t>s použitím programu MS Excel</w:t>
      </w:r>
    </w:p>
    <w:p w:rsidR="00433CAF" w:rsidRDefault="00AA3A10" w:rsidP="00433CAF">
      <w:pPr>
        <w:pStyle w:val="DanaNejedlov-Text"/>
      </w:pPr>
      <w:r>
        <w:fldChar w:fldCharType="begin"/>
      </w:r>
      <w:r>
        <w:instrText xml:space="preserve"> REF _Ref155095259 \r \h </w:instrText>
      </w:r>
      <w:r>
        <w:fldChar w:fldCharType="separate"/>
      </w:r>
      <w:r w:rsidR="004C64D0">
        <w:t>Obr. 1</w:t>
      </w:r>
      <w:r>
        <w:fldChar w:fldCharType="end"/>
      </w:r>
      <w:r w:rsidR="00433CAF" w:rsidRPr="00D41BD2">
        <w:t xml:space="preserve"> graficky zobrazuje data z</w:t>
      </w:r>
      <w:r>
        <w:t> </w:t>
      </w:r>
      <w:r>
        <w:fldChar w:fldCharType="begin"/>
      </w:r>
      <w:r>
        <w:instrText xml:space="preserve"> REF _Ref155094955 \r \h </w:instrText>
      </w:r>
      <w:r>
        <w:fldChar w:fldCharType="separate"/>
      </w:r>
      <w:r w:rsidR="004C64D0">
        <w:t>Tab. 1</w:t>
      </w:r>
      <w:r>
        <w:fldChar w:fldCharType="end"/>
      </w:r>
      <w:r w:rsidR="00433CAF" w:rsidRPr="00D41BD2">
        <w:t>.</w:t>
      </w:r>
    </w:p>
    <w:p w:rsidR="00433CAF" w:rsidRDefault="00433CAF" w:rsidP="00433CAF">
      <w:pPr>
        <w:pStyle w:val="DanaNejedlov-Obrzek"/>
      </w:pPr>
      <w:r>
        <w:rPr>
          <w:noProof/>
        </w:rPr>
        <w:lastRenderedPageBreak/>
        <w:drawing>
          <wp:inline distT="0" distB="0" distL="0" distR="0" wp14:anchorId="320FC011" wp14:editId="21480B6B">
            <wp:extent cx="5760720" cy="2948955"/>
            <wp:effectExtent l="0" t="0" r="11430" b="2286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33CAF" w:rsidRDefault="00433CAF" w:rsidP="00433CAF">
      <w:pPr>
        <w:pStyle w:val="DanaNejedlov-Popisobrzku"/>
      </w:pPr>
      <w:bookmarkStart w:id="1" w:name="_Ref155095259"/>
      <w:r>
        <w:t>Produktivita práce za jednotlivé služby a měsíce v pondělí v </w:t>
      </w:r>
      <w:r w:rsidRPr="00433CAF">
        <w:t>roce 2000</w:t>
      </w:r>
      <w:bookmarkEnd w:id="1"/>
    </w:p>
    <w:p w:rsidR="00433CAF" w:rsidRPr="00433CAF" w:rsidRDefault="00433CAF" w:rsidP="00433CAF">
      <w:pPr>
        <w:pStyle w:val="DanaNejedlov-Zdrojtabulkyneboobrzku"/>
      </w:pPr>
      <w:r>
        <w:t>Zdroj: Vlastní vypracování</w:t>
      </w:r>
      <w:r w:rsidR="000949BE" w:rsidRPr="000949BE">
        <w:t xml:space="preserve"> </w:t>
      </w:r>
      <w:r w:rsidR="000949BE">
        <w:t>s použitím programu MS Excel</w:t>
      </w:r>
    </w:p>
    <w:p w:rsidR="005C0E71" w:rsidRDefault="00433CAF" w:rsidP="005C0E71">
      <w:pPr>
        <w:pStyle w:val="DanaNejedlov-Text"/>
      </w:pPr>
      <w:r>
        <w:t xml:space="preserve">Dle </w:t>
      </w:r>
      <w:r>
        <w:fldChar w:fldCharType="begin"/>
      </w:r>
      <w:r>
        <w:instrText xml:space="preserve"> REF _Ref155095259 \r \h </w:instrText>
      </w:r>
      <w:r>
        <w:fldChar w:fldCharType="separate"/>
      </w:r>
      <w:r w:rsidR="000949BE">
        <w:t>Obr. 1</w:t>
      </w:r>
      <w:r>
        <w:fldChar w:fldCharType="end"/>
      </w:r>
      <w:r>
        <w:t xml:space="preserve"> byla produktivita práce </w:t>
      </w:r>
      <w:r w:rsidR="00AA3A10" w:rsidRPr="00AA3A10">
        <w:t>v</w:t>
      </w:r>
      <w:r w:rsidR="00AA3A10">
        <w:t> </w:t>
      </w:r>
      <w:r w:rsidR="00AA3A10" w:rsidRPr="00AA3A10">
        <w:t>pondělí v</w:t>
      </w:r>
      <w:r w:rsidR="00AA3A10">
        <w:t> </w:t>
      </w:r>
      <w:r w:rsidR="00AA3A10" w:rsidRPr="00AA3A10">
        <w:t>roce 2000</w:t>
      </w:r>
      <w:r w:rsidR="00AA3A10">
        <w:t xml:space="preserve"> </w:t>
      </w:r>
      <w:r>
        <w:t xml:space="preserve">nejvyšší u služby </w:t>
      </w:r>
      <w:r w:rsidR="00AA3A10">
        <w:t>„údržba“ v lednu</w:t>
      </w:r>
      <w:r w:rsidR="005C0E71">
        <w:t>.</w:t>
      </w:r>
    </w:p>
    <w:p w:rsidR="00816A49" w:rsidRDefault="004C64D0" w:rsidP="00C704BB">
      <w:pPr>
        <w:pStyle w:val="DanaNejedlov-slovanpodnadpis"/>
        <w:numPr>
          <w:ilvl w:val="1"/>
          <w:numId w:val="17"/>
        </w:numPr>
      </w:pPr>
      <w:r>
        <w:t>Výnosy</w:t>
      </w:r>
    </w:p>
    <w:p w:rsidR="00885EF6" w:rsidRDefault="004C64D0" w:rsidP="00D41BD2">
      <w:pPr>
        <w:pStyle w:val="DanaNejedlov-Text"/>
      </w:pPr>
      <w:r>
        <w:t xml:space="preserve">Na </w:t>
      </w:r>
      <w:r w:rsidR="000949BE">
        <w:fldChar w:fldCharType="begin"/>
      </w:r>
      <w:r w:rsidR="000949BE">
        <w:instrText xml:space="preserve"> REF _Ref155096758 \r \h </w:instrText>
      </w:r>
      <w:r w:rsidR="000949BE">
        <w:fldChar w:fldCharType="separate"/>
      </w:r>
      <w:r w:rsidR="000949BE">
        <w:t>Obr. 2</w:t>
      </w:r>
      <w:r w:rsidR="000949BE">
        <w:fldChar w:fldCharType="end"/>
      </w:r>
      <w:r w:rsidR="00885EF6" w:rsidRPr="00D41BD2">
        <w:t xml:space="preserve"> </w:t>
      </w:r>
      <w:r>
        <w:t>je graf výnosů z jednotlivých služeb v jednotlivých měsících</w:t>
      </w:r>
      <w:r w:rsidR="00204760">
        <w:t xml:space="preserve"> v letech 2000 až 2022</w:t>
      </w:r>
      <w:r w:rsidR="00885EF6" w:rsidRPr="00D41BD2">
        <w:t>.</w:t>
      </w:r>
    </w:p>
    <w:p w:rsidR="004C64D0" w:rsidRDefault="00F14B31" w:rsidP="004C64D0">
      <w:pPr>
        <w:pStyle w:val="DanaNejedlov-Obrzek"/>
      </w:pPr>
      <w:r>
        <w:rPr>
          <w:noProof/>
        </w:rPr>
        <w:drawing>
          <wp:inline distT="0" distB="0" distL="0" distR="0" wp14:anchorId="4403EFA2" wp14:editId="14687508">
            <wp:extent cx="5760720" cy="2827077"/>
            <wp:effectExtent l="0" t="0" r="11430" b="1143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C64D0" w:rsidRDefault="004C64D0" w:rsidP="004C64D0">
      <w:pPr>
        <w:pStyle w:val="DanaNejedlov-Popisobrzku"/>
      </w:pPr>
      <w:bookmarkStart w:id="2" w:name="_Ref155096758"/>
      <w:r>
        <w:t xml:space="preserve">Výnosy ze služeb </w:t>
      </w:r>
      <w:r w:rsidR="00204760">
        <w:t>v letech 2000 až 2022</w:t>
      </w:r>
      <w:bookmarkEnd w:id="2"/>
    </w:p>
    <w:p w:rsidR="00204760" w:rsidRDefault="00204760" w:rsidP="00204760">
      <w:pPr>
        <w:pStyle w:val="DanaNejedlov-Zdrojtabulkyneboobrzku"/>
      </w:pPr>
      <w:r>
        <w:t>Zdroj: Vlastní vypracování</w:t>
      </w:r>
      <w:r w:rsidR="000949BE" w:rsidRPr="000949BE">
        <w:t xml:space="preserve"> </w:t>
      </w:r>
      <w:r w:rsidR="000949BE">
        <w:t>s použitím programu MS Excel</w:t>
      </w:r>
    </w:p>
    <w:p w:rsidR="00204760" w:rsidRDefault="000949BE" w:rsidP="00204760">
      <w:pPr>
        <w:pStyle w:val="DanaNejedlov-Text"/>
      </w:pPr>
      <w:r>
        <w:t>Dle</w:t>
      </w:r>
      <w:r w:rsidR="00204760">
        <w:t xml:space="preserve"> </w:t>
      </w:r>
      <w:r w:rsidR="00204760">
        <w:fldChar w:fldCharType="begin"/>
      </w:r>
      <w:r w:rsidR="00204760">
        <w:instrText xml:space="preserve"> REF _Ref155096758 \r \h </w:instrText>
      </w:r>
      <w:r w:rsidR="00204760">
        <w:fldChar w:fldCharType="separate"/>
      </w:r>
      <w:r w:rsidR="00204760">
        <w:t>Obr. 2</w:t>
      </w:r>
      <w:r w:rsidR="00204760">
        <w:fldChar w:fldCharType="end"/>
      </w:r>
      <w:r w:rsidR="00204760">
        <w:t xml:space="preserve"> </w:t>
      </w:r>
      <w:r>
        <w:t>byly</w:t>
      </w:r>
      <w:r w:rsidR="00204760">
        <w:t xml:space="preserve"> výnosy z úklidu nejvyšší v letních měsících a výnosy z ošetřování vrcholily v září.</w:t>
      </w:r>
    </w:p>
    <w:p w:rsidR="00204760" w:rsidRDefault="00204760" w:rsidP="00933BC3">
      <w:pPr>
        <w:pStyle w:val="DanaNejedlov-slovanpodnadpis"/>
        <w:numPr>
          <w:ilvl w:val="1"/>
          <w:numId w:val="17"/>
        </w:numPr>
      </w:pPr>
      <w:bookmarkStart w:id="3" w:name="_GoBack"/>
      <w:bookmarkEnd w:id="3"/>
      <w:r>
        <w:t>Počet dní, kdy probíhaly služby</w:t>
      </w:r>
    </w:p>
    <w:p w:rsidR="000949BE" w:rsidRPr="000949BE" w:rsidRDefault="000949BE" w:rsidP="000949BE">
      <w:pPr>
        <w:pStyle w:val="DanaNejedlov-Text"/>
      </w:pPr>
      <w:r>
        <w:t xml:space="preserve">Na </w:t>
      </w:r>
      <w:r>
        <w:fldChar w:fldCharType="begin"/>
      </w:r>
      <w:r>
        <w:instrText xml:space="preserve"> REF _Ref155097599 \r \h </w:instrText>
      </w:r>
      <w:r>
        <w:fldChar w:fldCharType="separate"/>
      </w:r>
      <w:r w:rsidR="00E90691">
        <w:t>Obr. 3</w:t>
      </w:r>
      <w:r>
        <w:fldChar w:fldCharType="end"/>
      </w:r>
      <w:r w:rsidRPr="00D41BD2">
        <w:t xml:space="preserve"> </w:t>
      </w:r>
      <w:r>
        <w:t>je graf počtu dní, kdy byly vykonávány jednotlivé služby v lednu v roce 2000</w:t>
      </w:r>
      <w:r w:rsidRPr="00D41BD2">
        <w:t>.</w:t>
      </w:r>
    </w:p>
    <w:p w:rsidR="000949BE" w:rsidRDefault="000949BE" w:rsidP="000949BE">
      <w:pPr>
        <w:pStyle w:val="DanaNejedlov-Obrzek"/>
      </w:pPr>
      <w:bookmarkStart w:id="4" w:name="_Ref86401638"/>
      <w:r>
        <w:rPr>
          <w:noProof/>
        </w:rPr>
        <w:lastRenderedPageBreak/>
        <w:drawing>
          <wp:inline distT="0" distB="0" distL="0" distR="0" wp14:anchorId="2CAC7D11" wp14:editId="7046CE0A">
            <wp:extent cx="5760720" cy="2349364"/>
            <wp:effectExtent l="0" t="0" r="11430" b="1333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85EF6" w:rsidRDefault="00885EF6" w:rsidP="00885EF6">
      <w:pPr>
        <w:pStyle w:val="DanaNejedlov-Popisobrzku"/>
        <w:numPr>
          <w:ilvl w:val="0"/>
          <w:numId w:val="6"/>
        </w:numPr>
        <w:ind w:left="851" w:hanging="851"/>
      </w:pPr>
      <w:bookmarkStart w:id="5" w:name="_Ref155097599"/>
      <w:bookmarkStart w:id="6" w:name="_Ref155098665"/>
      <w:r>
        <w:t>P</w:t>
      </w:r>
      <w:r w:rsidR="000949BE">
        <w:t>očet dní, kdy probíhala služba</w:t>
      </w:r>
      <w:bookmarkEnd w:id="4"/>
      <w:bookmarkEnd w:id="5"/>
      <w:r w:rsidR="009F350F">
        <w:t>,</w:t>
      </w:r>
      <w:r w:rsidR="000949BE">
        <w:t xml:space="preserve"> v roce a měsíci uvedeném v nadpise grafu</w:t>
      </w:r>
      <w:bookmarkEnd w:id="6"/>
    </w:p>
    <w:p w:rsidR="00885EF6" w:rsidRPr="003D41DE" w:rsidRDefault="00885EF6" w:rsidP="00885EF6">
      <w:pPr>
        <w:pStyle w:val="DanaNejedlov-Zdrojtabulkyneboobrzku"/>
      </w:pPr>
      <w:r>
        <w:t>Zdroj: Vlastní vypracování s použitím programu MS Excel</w:t>
      </w:r>
    </w:p>
    <w:p w:rsidR="00387962" w:rsidRDefault="00E90691" w:rsidP="00387962">
      <w:pPr>
        <w:pStyle w:val="DanaNejedlov-slovanpodnadpis"/>
        <w:numPr>
          <w:ilvl w:val="1"/>
          <w:numId w:val="17"/>
        </w:numPr>
      </w:pPr>
      <w:r>
        <w:t>Výsledek hospodaření</w:t>
      </w:r>
    </w:p>
    <w:p w:rsidR="00885EF6" w:rsidRDefault="00E90691" w:rsidP="00885EF6">
      <w:pPr>
        <w:pStyle w:val="DanaNejedlov-Text"/>
      </w:pPr>
      <w:r>
        <w:fldChar w:fldCharType="begin"/>
      </w:r>
      <w:r>
        <w:instrText xml:space="preserve"> REF _Ref403561325 \r \h </w:instrText>
      </w:r>
      <w:r>
        <w:fldChar w:fldCharType="separate"/>
      </w:r>
      <w:r w:rsidR="008B3515">
        <w:t>Obr. 4</w:t>
      </w:r>
      <w:r>
        <w:fldChar w:fldCharType="end"/>
      </w:r>
      <w:r w:rsidR="00387962">
        <w:t xml:space="preserve"> </w:t>
      </w:r>
      <w:r w:rsidR="00885EF6">
        <w:t xml:space="preserve">zobrazuje </w:t>
      </w:r>
      <w:r w:rsidR="008B3515">
        <w:t xml:space="preserve">výsledek hospodaření </w:t>
      </w:r>
      <w:r w:rsidR="001447BF">
        <w:t xml:space="preserve">a jeho kumulativní součet </w:t>
      </w:r>
      <w:r w:rsidR="008B3515">
        <w:t>za jednotlivé dny pro poradenství, které v lednu v roce 2000</w:t>
      </w:r>
      <w:r w:rsidR="008B3515" w:rsidRPr="008B3515">
        <w:t xml:space="preserve"> </w:t>
      </w:r>
      <w:r w:rsidR="008B3515">
        <w:t xml:space="preserve">probíhalo nejčastěji, jak ukazuje graf na </w:t>
      </w:r>
      <w:r w:rsidR="008B3515">
        <w:fldChar w:fldCharType="begin"/>
      </w:r>
      <w:r w:rsidR="008B3515">
        <w:instrText xml:space="preserve"> REF _Ref155098665 \r \h </w:instrText>
      </w:r>
      <w:r w:rsidR="008B3515">
        <w:fldChar w:fldCharType="separate"/>
      </w:r>
      <w:r w:rsidR="008B3515">
        <w:t>Obr. 3</w:t>
      </w:r>
      <w:r w:rsidR="008B3515">
        <w:fldChar w:fldCharType="end"/>
      </w:r>
      <w:r w:rsidR="00885EF6">
        <w:t>.</w:t>
      </w:r>
    </w:p>
    <w:p w:rsidR="00885EF6" w:rsidRPr="003D41DE" w:rsidRDefault="00E90691" w:rsidP="00885EF6">
      <w:pPr>
        <w:pStyle w:val="DanaNejedlov-Obrzek"/>
      </w:pPr>
      <w:r>
        <w:rPr>
          <w:noProof/>
        </w:rPr>
        <w:drawing>
          <wp:inline distT="0" distB="0" distL="0" distR="0" wp14:anchorId="1B7CB6A1" wp14:editId="59812198">
            <wp:extent cx="5760720" cy="3397882"/>
            <wp:effectExtent l="0" t="0" r="11430" b="1270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85EF6" w:rsidRDefault="008B3515" w:rsidP="00885EF6">
      <w:pPr>
        <w:pStyle w:val="DanaNejedlov-Popisobrzku"/>
        <w:numPr>
          <w:ilvl w:val="0"/>
          <w:numId w:val="6"/>
        </w:numPr>
        <w:ind w:left="851" w:hanging="851"/>
      </w:pPr>
      <w:bookmarkStart w:id="7" w:name="_Ref403561325"/>
      <w:r>
        <w:t>Výsledek hospodaření pro službu „poradenství“ v lednu v roce 2000</w:t>
      </w:r>
      <w:bookmarkEnd w:id="7"/>
    </w:p>
    <w:p w:rsidR="00885EF6" w:rsidRPr="003A73D2" w:rsidRDefault="00885EF6" w:rsidP="00885EF6">
      <w:pPr>
        <w:pStyle w:val="DanaNejedlov-Zdrojtabulkyneboobrzku"/>
      </w:pPr>
      <w:r>
        <w:t>Zdroj: Vlastní vypracování s použitím programu MS Excel</w:t>
      </w:r>
    </w:p>
    <w:p w:rsidR="00013079" w:rsidRDefault="00914C02" w:rsidP="00013079">
      <w:pPr>
        <w:pStyle w:val="DanaNejedlov-slovanpodnadpis"/>
        <w:numPr>
          <w:ilvl w:val="1"/>
          <w:numId w:val="17"/>
        </w:numPr>
      </w:pPr>
      <w:proofErr w:type="spellStart"/>
      <w:r>
        <w:t>Whale</w:t>
      </w:r>
      <w:proofErr w:type="spellEnd"/>
      <w:r>
        <w:t xml:space="preserve"> </w:t>
      </w:r>
      <w:proofErr w:type="spellStart"/>
      <w:r>
        <w:t>Curve</w:t>
      </w:r>
      <w:proofErr w:type="spellEnd"/>
    </w:p>
    <w:p w:rsidR="003E1FA4" w:rsidRDefault="003E1FA4" w:rsidP="003E1FA4">
      <w:pPr>
        <w:pStyle w:val="DanaNejedlov-Text"/>
      </w:pPr>
      <w:r>
        <w:t xml:space="preserve">Na </w:t>
      </w:r>
      <w:r w:rsidR="00914C02">
        <w:fldChar w:fldCharType="begin"/>
      </w:r>
      <w:r w:rsidR="00914C02">
        <w:instrText xml:space="preserve"> REF _Ref155099268 \r \h </w:instrText>
      </w:r>
      <w:r w:rsidR="00914C02">
        <w:fldChar w:fldCharType="separate"/>
      </w:r>
      <w:r w:rsidR="00914C02">
        <w:t>Obr. 5</w:t>
      </w:r>
      <w:r w:rsidR="00914C02">
        <w:fldChar w:fldCharType="end"/>
      </w:r>
      <w:r>
        <w:t xml:space="preserve"> je </w:t>
      </w:r>
      <w:r w:rsidR="00914C02">
        <w:t>velrybí křivka hospodářského výsledku za jednotlivé dny, ve kterých byla vykonávána služba „údržba“</w:t>
      </w:r>
      <w:r>
        <w:t>.</w:t>
      </w:r>
    </w:p>
    <w:p w:rsidR="00914C02" w:rsidRDefault="00914C02" w:rsidP="00914C02">
      <w:pPr>
        <w:pStyle w:val="DanaNejedlov-Obrzek"/>
      </w:pPr>
      <w:r>
        <w:rPr>
          <w:noProof/>
        </w:rPr>
        <w:lastRenderedPageBreak/>
        <w:drawing>
          <wp:inline distT="0" distB="0" distL="0" distR="0" wp14:anchorId="4067890F" wp14:editId="5F01D2D3">
            <wp:extent cx="5400000" cy="5400000"/>
            <wp:effectExtent l="0" t="0" r="10795" b="10795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14C02" w:rsidRPr="00914C02" w:rsidRDefault="00914C02" w:rsidP="00914C02">
      <w:pPr>
        <w:pStyle w:val="DanaNejedlov-Popisobrzku"/>
      </w:pPr>
      <w:bookmarkStart w:id="8" w:name="_Ref155099268"/>
      <w:r>
        <w:t xml:space="preserve">Velrybí křivka služby </w:t>
      </w:r>
      <w:r w:rsidR="00E06905">
        <w:t>„</w:t>
      </w:r>
      <w:r>
        <w:t>údržba</w:t>
      </w:r>
      <w:bookmarkEnd w:id="8"/>
      <w:r w:rsidR="00E06905">
        <w:t>“</w:t>
      </w:r>
    </w:p>
    <w:p w:rsidR="00976009" w:rsidRDefault="001A7596" w:rsidP="00976009">
      <w:pPr>
        <w:pStyle w:val="DanaNejedlov-Zdrojtabulkyneboobrzku"/>
      </w:pPr>
      <w:r w:rsidRPr="00976009">
        <w:t>Zdroj: Vlastní vypracování s použitím programu MS Excel</w:t>
      </w:r>
    </w:p>
    <w:p w:rsidR="00976009" w:rsidRPr="00976009" w:rsidRDefault="009638F2" w:rsidP="00976009">
      <w:pPr>
        <w:pStyle w:val="DanaNejedlov-Text"/>
      </w:pPr>
      <w:r>
        <w:t xml:space="preserve">Z </w:t>
      </w:r>
      <w:r w:rsidR="00C70B14">
        <w:fldChar w:fldCharType="begin"/>
      </w:r>
      <w:r w:rsidR="00C70B14">
        <w:instrText xml:space="preserve"> REF _Ref155099268 \r \h </w:instrText>
      </w:r>
      <w:r w:rsidR="00C70B14">
        <w:fldChar w:fldCharType="separate"/>
      </w:r>
      <w:r w:rsidR="00C70B14">
        <w:t>Obr. 5</w:t>
      </w:r>
      <w:r w:rsidR="00C70B14">
        <w:fldChar w:fldCharType="end"/>
      </w:r>
      <w:r w:rsidR="00976009">
        <w:t xml:space="preserve"> </w:t>
      </w:r>
      <w:r>
        <w:t>lze vyčíst</w:t>
      </w:r>
      <w:r w:rsidR="00C70B14">
        <w:t xml:space="preserve"> následující fakta o služně „</w:t>
      </w:r>
      <w:proofErr w:type="gramStart"/>
      <w:r w:rsidR="00C70B14">
        <w:t>údržba</w:t>
      </w:r>
      <w:proofErr w:type="gramEnd"/>
      <w:r w:rsidR="00C70B14">
        <w:t>“:</w:t>
      </w:r>
      <w:r w:rsidR="00976009">
        <w:t xml:space="preserve"> </w:t>
      </w:r>
      <w:r w:rsidR="00C70B14">
        <w:t xml:space="preserve">45 % dní, ve kterých </w:t>
      </w:r>
      <w:r>
        <w:t xml:space="preserve">tato služba </w:t>
      </w:r>
      <w:r w:rsidR="00C70B14">
        <w:t>probíhala, vytvořilo 110 % zisku z této služby</w:t>
      </w:r>
      <w:r w:rsidR="00976009">
        <w:t>.</w:t>
      </w:r>
      <w:r w:rsidR="00C70B14">
        <w:t xml:space="preserve"> Přibližně ve 35 % dní přinesla služba „údržba“</w:t>
      </w:r>
      <w:r>
        <w:t xml:space="preserve"> téměř nulový zisk a </w:t>
      </w:r>
      <w:r w:rsidR="00CD3F65">
        <w:t xml:space="preserve">ve </w:t>
      </w:r>
      <w:r>
        <w:t>20</w:t>
      </w:r>
      <w:r w:rsidR="00CD3F65">
        <w:t> </w:t>
      </w:r>
      <w:r>
        <w:t>% dní</w:t>
      </w:r>
      <w:r w:rsidR="004B0CD5">
        <w:t>, kdy byla tato služba provozována, došlo ke ztrátě 10</w:t>
      </w:r>
      <w:r w:rsidR="00CD3F65">
        <w:t> </w:t>
      </w:r>
      <w:r w:rsidR="004B0CD5">
        <w:t xml:space="preserve">% </w:t>
      </w:r>
      <w:r w:rsidR="008542A8">
        <w:t xml:space="preserve">celkového </w:t>
      </w:r>
      <w:r w:rsidR="004B0CD5">
        <w:t>zisku</w:t>
      </w:r>
      <w:r w:rsidR="008542A8">
        <w:t xml:space="preserve"> přineseného touto službou</w:t>
      </w:r>
      <w:r w:rsidR="004B0CD5">
        <w:t>.</w:t>
      </w:r>
    </w:p>
    <w:sectPr w:rsidR="00976009" w:rsidRPr="0097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A4F" w:rsidRDefault="00341A4F">
      <w:r>
        <w:separator/>
      </w:r>
    </w:p>
  </w:endnote>
  <w:endnote w:type="continuationSeparator" w:id="0">
    <w:p w:rsidR="00341A4F" w:rsidRDefault="0034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A4F" w:rsidRDefault="00341A4F">
      <w:r>
        <w:separator/>
      </w:r>
    </w:p>
  </w:footnote>
  <w:footnote w:type="continuationSeparator" w:id="0">
    <w:p w:rsidR="00341A4F" w:rsidRDefault="00341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7BD9"/>
    <w:multiLevelType w:val="multilevel"/>
    <w:tmpl w:val="E7F41104"/>
    <w:lvl w:ilvl="0">
      <w:start w:val="1"/>
      <w:numFmt w:val="decimal"/>
      <w:lvlText w:val="Tabulka č. %1"/>
      <w:lvlJc w:val="left"/>
      <w:pPr>
        <w:tabs>
          <w:tab w:val="num" w:pos="284"/>
        </w:tabs>
        <w:ind w:left="1701" w:hanging="17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44801"/>
    <w:multiLevelType w:val="multilevel"/>
    <w:tmpl w:val="CB449568"/>
    <w:lvl w:ilvl="0">
      <w:start w:val="1"/>
      <w:numFmt w:val="decimal"/>
      <w:lvlText w:val="Obrázek č. %1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B35F03"/>
    <w:multiLevelType w:val="multilevel"/>
    <w:tmpl w:val="626639A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2A5270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5B35CB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A883BDE"/>
    <w:multiLevelType w:val="multilevel"/>
    <w:tmpl w:val="6F520A8A"/>
    <w:lvl w:ilvl="0">
      <w:start w:val="1"/>
      <w:numFmt w:val="decimal"/>
      <w:pStyle w:val="DanaNejedlov-slovanpod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36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6">
    <w:nsid w:val="3C972EB1"/>
    <w:multiLevelType w:val="multilevel"/>
    <w:tmpl w:val="930E24F8"/>
    <w:lvl w:ilvl="0">
      <w:start w:val="1"/>
      <w:numFmt w:val="decimal"/>
      <w:lvlText w:val="Tabulka č. %1"/>
      <w:lvlJc w:val="left"/>
      <w:pPr>
        <w:tabs>
          <w:tab w:val="num" w:pos="284"/>
        </w:tabs>
        <w:ind w:left="1701" w:hanging="17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F139C2"/>
    <w:multiLevelType w:val="multilevel"/>
    <w:tmpl w:val="930E24F8"/>
    <w:lvl w:ilvl="0">
      <w:start w:val="1"/>
      <w:numFmt w:val="decimal"/>
      <w:lvlText w:val="Tabulka č. %1"/>
      <w:lvlJc w:val="left"/>
      <w:pPr>
        <w:tabs>
          <w:tab w:val="num" w:pos="284"/>
        </w:tabs>
        <w:ind w:left="1701" w:hanging="17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1A0A37"/>
    <w:multiLevelType w:val="multilevel"/>
    <w:tmpl w:val="D9726D5E"/>
    <w:lvl w:ilvl="0">
      <w:start w:val="1"/>
      <w:numFmt w:val="decimal"/>
      <w:lvlText w:val="Obrázek č. %1"/>
      <w:lvlJc w:val="left"/>
      <w:pPr>
        <w:tabs>
          <w:tab w:val="num" w:pos="284"/>
        </w:tabs>
        <w:ind w:left="1701" w:hanging="17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E81BF6"/>
    <w:multiLevelType w:val="hybridMultilevel"/>
    <w:tmpl w:val="D7EAA51E"/>
    <w:lvl w:ilvl="0" w:tplc="CE32CE74">
      <w:start w:val="1"/>
      <w:numFmt w:val="decimal"/>
      <w:pStyle w:val="DanaNejedlov-Popistabulky"/>
      <w:lvlText w:val="Tab. %1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kern w:val="0"/>
        <w:vertAlign w:val="baseline"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72C24"/>
    <w:multiLevelType w:val="multilevel"/>
    <w:tmpl w:val="D6F40CA0"/>
    <w:lvl w:ilvl="0">
      <w:start w:val="1"/>
      <w:numFmt w:val="decimal"/>
      <w:lvlText w:val="Tabulka č. %1 "/>
      <w:lvlJc w:val="left"/>
      <w:pPr>
        <w:tabs>
          <w:tab w:val="num" w:pos="284"/>
        </w:tabs>
        <w:ind w:left="1701" w:hanging="17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0B75DB"/>
    <w:multiLevelType w:val="multilevel"/>
    <w:tmpl w:val="C382E9EC"/>
    <w:lvl w:ilvl="0">
      <w:start w:val="1"/>
      <w:numFmt w:val="decimal"/>
      <w:lvlText w:val="Tabulka č. %1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3A0174"/>
    <w:multiLevelType w:val="multilevel"/>
    <w:tmpl w:val="A8A2E10E"/>
    <w:lvl w:ilvl="0">
      <w:start w:val="1"/>
      <w:numFmt w:val="decimal"/>
      <w:lvlText w:val="Obrázek č. %1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A72D82"/>
    <w:multiLevelType w:val="hybridMultilevel"/>
    <w:tmpl w:val="8DC2D6DE"/>
    <w:lvl w:ilvl="0" w:tplc="83003A1C">
      <w:start w:val="1"/>
      <w:numFmt w:val="decimal"/>
      <w:pStyle w:val="DanaNejedlov-Popisobrzku"/>
      <w:lvlText w:val="Obr. %1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6A5B70"/>
    <w:multiLevelType w:val="multilevel"/>
    <w:tmpl w:val="E14811E0"/>
    <w:lvl w:ilvl="0">
      <w:start w:val="1"/>
      <w:numFmt w:val="decimal"/>
      <w:lvlText w:val="Tabulka č. %1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0"/>
  </w:num>
  <w:num w:numId="5">
    <w:abstractNumId w:val="7"/>
  </w:num>
  <w:num w:numId="6">
    <w:abstractNumId w:val="13"/>
  </w:num>
  <w:num w:numId="7">
    <w:abstractNumId w:val="8"/>
  </w:num>
  <w:num w:numId="8">
    <w:abstractNumId w:val="6"/>
  </w:num>
  <w:num w:numId="9">
    <w:abstractNumId w:val="12"/>
  </w:num>
  <w:num w:numId="10">
    <w:abstractNumId w:val="11"/>
  </w:num>
  <w:num w:numId="11">
    <w:abstractNumId w:val="14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4"/>
  </w:num>
  <w:num w:numId="17">
    <w:abstractNumId w:val="5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02"/>
    <w:rsid w:val="00013079"/>
    <w:rsid w:val="000344A6"/>
    <w:rsid w:val="00054823"/>
    <w:rsid w:val="00056937"/>
    <w:rsid w:val="00057538"/>
    <w:rsid w:val="00060781"/>
    <w:rsid w:val="00071D6D"/>
    <w:rsid w:val="00080CFF"/>
    <w:rsid w:val="00081189"/>
    <w:rsid w:val="000949BE"/>
    <w:rsid w:val="00095FCB"/>
    <w:rsid w:val="000A5DE5"/>
    <w:rsid w:val="000D50B1"/>
    <w:rsid w:val="000E6554"/>
    <w:rsid w:val="000F0880"/>
    <w:rsid w:val="000F587C"/>
    <w:rsid w:val="00120523"/>
    <w:rsid w:val="00124FC4"/>
    <w:rsid w:val="00142833"/>
    <w:rsid w:val="001447BF"/>
    <w:rsid w:val="00167B95"/>
    <w:rsid w:val="00167BA4"/>
    <w:rsid w:val="00190250"/>
    <w:rsid w:val="001A7596"/>
    <w:rsid w:val="001F789B"/>
    <w:rsid w:val="00204760"/>
    <w:rsid w:val="00216B66"/>
    <w:rsid w:val="0025696E"/>
    <w:rsid w:val="00260914"/>
    <w:rsid w:val="00264403"/>
    <w:rsid w:val="0027317D"/>
    <w:rsid w:val="00281558"/>
    <w:rsid w:val="0029333D"/>
    <w:rsid w:val="002A20E9"/>
    <w:rsid w:val="002A62CB"/>
    <w:rsid w:val="002B16FC"/>
    <w:rsid w:val="002F1663"/>
    <w:rsid w:val="002F3436"/>
    <w:rsid w:val="002F566D"/>
    <w:rsid w:val="00306893"/>
    <w:rsid w:val="00321BA9"/>
    <w:rsid w:val="003266C8"/>
    <w:rsid w:val="00331B42"/>
    <w:rsid w:val="00341A4F"/>
    <w:rsid w:val="00343CC0"/>
    <w:rsid w:val="0036459D"/>
    <w:rsid w:val="00364B2F"/>
    <w:rsid w:val="003701BE"/>
    <w:rsid w:val="00387962"/>
    <w:rsid w:val="00391EE9"/>
    <w:rsid w:val="003937A5"/>
    <w:rsid w:val="00393B93"/>
    <w:rsid w:val="00395035"/>
    <w:rsid w:val="003A73D2"/>
    <w:rsid w:val="003C34C8"/>
    <w:rsid w:val="003D41DE"/>
    <w:rsid w:val="003E0B4F"/>
    <w:rsid w:val="003E1FA4"/>
    <w:rsid w:val="003E20D7"/>
    <w:rsid w:val="003F38AF"/>
    <w:rsid w:val="003F6D49"/>
    <w:rsid w:val="004015CD"/>
    <w:rsid w:val="0042100A"/>
    <w:rsid w:val="00422D2F"/>
    <w:rsid w:val="00425B04"/>
    <w:rsid w:val="00426DC8"/>
    <w:rsid w:val="00427301"/>
    <w:rsid w:val="00433CAF"/>
    <w:rsid w:val="00443494"/>
    <w:rsid w:val="00450012"/>
    <w:rsid w:val="00450A9E"/>
    <w:rsid w:val="004566ED"/>
    <w:rsid w:val="004848EF"/>
    <w:rsid w:val="00485E6B"/>
    <w:rsid w:val="00486002"/>
    <w:rsid w:val="004B0CD5"/>
    <w:rsid w:val="004C64D0"/>
    <w:rsid w:val="004C7119"/>
    <w:rsid w:val="004D7DDA"/>
    <w:rsid w:val="004E5136"/>
    <w:rsid w:val="00505BE1"/>
    <w:rsid w:val="0052193D"/>
    <w:rsid w:val="00521B68"/>
    <w:rsid w:val="00524E20"/>
    <w:rsid w:val="0053202A"/>
    <w:rsid w:val="0055573E"/>
    <w:rsid w:val="00561BF2"/>
    <w:rsid w:val="00563B51"/>
    <w:rsid w:val="00563F2A"/>
    <w:rsid w:val="005739C9"/>
    <w:rsid w:val="00575561"/>
    <w:rsid w:val="00586B7A"/>
    <w:rsid w:val="00591108"/>
    <w:rsid w:val="005B2F91"/>
    <w:rsid w:val="005B486D"/>
    <w:rsid w:val="005B74AB"/>
    <w:rsid w:val="005B7756"/>
    <w:rsid w:val="005C0E71"/>
    <w:rsid w:val="005D50F1"/>
    <w:rsid w:val="005D7B9C"/>
    <w:rsid w:val="005E6E31"/>
    <w:rsid w:val="0060695D"/>
    <w:rsid w:val="00624271"/>
    <w:rsid w:val="006275BF"/>
    <w:rsid w:val="0063364E"/>
    <w:rsid w:val="00640707"/>
    <w:rsid w:val="0064201E"/>
    <w:rsid w:val="006428CB"/>
    <w:rsid w:val="00642B9E"/>
    <w:rsid w:val="0065585A"/>
    <w:rsid w:val="00662056"/>
    <w:rsid w:val="00666F48"/>
    <w:rsid w:val="0067507A"/>
    <w:rsid w:val="00685437"/>
    <w:rsid w:val="00697BA8"/>
    <w:rsid w:val="006A1112"/>
    <w:rsid w:val="006B131B"/>
    <w:rsid w:val="006B7415"/>
    <w:rsid w:val="006C2612"/>
    <w:rsid w:val="006D3432"/>
    <w:rsid w:val="006E22DE"/>
    <w:rsid w:val="007007C4"/>
    <w:rsid w:val="00705A9E"/>
    <w:rsid w:val="0070692F"/>
    <w:rsid w:val="007333F9"/>
    <w:rsid w:val="00735B23"/>
    <w:rsid w:val="00755CF2"/>
    <w:rsid w:val="00760A97"/>
    <w:rsid w:val="00762029"/>
    <w:rsid w:val="007770AF"/>
    <w:rsid w:val="007A551B"/>
    <w:rsid w:val="007B21B2"/>
    <w:rsid w:val="007F417F"/>
    <w:rsid w:val="00804C9F"/>
    <w:rsid w:val="008124AF"/>
    <w:rsid w:val="00816A49"/>
    <w:rsid w:val="0083123A"/>
    <w:rsid w:val="008542A8"/>
    <w:rsid w:val="00855803"/>
    <w:rsid w:val="00864750"/>
    <w:rsid w:val="00874C7F"/>
    <w:rsid w:val="0088192C"/>
    <w:rsid w:val="00885EF6"/>
    <w:rsid w:val="008A007A"/>
    <w:rsid w:val="008B1C5E"/>
    <w:rsid w:val="008B3515"/>
    <w:rsid w:val="008C49B6"/>
    <w:rsid w:val="008D3662"/>
    <w:rsid w:val="008D7A1C"/>
    <w:rsid w:val="00914C02"/>
    <w:rsid w:val="00914F1F"/>
    <w:rsid w:val="00925B98"/>
    <w:rsid w:val="0092771F"/>
    <w:rsid w:val="00933BC3"/>
    <w:rsid w:val="00945CD5"/>
    <w:rsid w:val="009525A3"/>
    <w:rsid w:val="009638F2"/>
    <w:rsid w:val="009709F0"/>
    <w:rsid w:val="00976009"/>
    <w:rsid w:val="00976014"/>
    <w:rsid w:val="00977178"/>
    <w:rsid w:val="00980DE6"/>
    <w:rsid w:val="0099690C"/>
    <w:rsid w:val="009B66E2"/>
    <w:rsid w:val="009C1489"/>
    <w:rsid w:val="009C4AA0"/>
    <w:rsid w:val="009D6BBB"/>
    <w:rsid w:val="009D7703"/>
    <w:rsid w:val="009D7D33"/>
    <w:rsid w:val="009E4E35"/>
    <w:rsid w:val="009E709D"/>
    <w:rsid w:val="009F019A"/>
    <w:rsid w:val="009F350F"/>
    <w:rsid w:val="00A44D6B"/>
    <w:rsid w:val="00A45133"/>
    <w:rsid w:val="00A5264A"/>
    <w:rsid w:val="00A600B3"/>
    <w:rsid w:val="00A727D8"/>
    <w:rsid w:val="00A75D05"/>
    <w:rsid w:val="00A76C51"/>
    <w:rsid w:val="00A76F3D"/>
    <w:rsid w:val="00A77677"/>
    <w:rsid w:val="00A86B9F"/>
    <w:rsid w:val="00AA15FF"/>
    <w:rsid w:val="00AA3A10"/>
    <w:rsid w:val="00AA6C3D"/>
    <w:rsid w:val="00AB71F9"/>
    <w:rsid w:val="00AF1E02"/>
    <w:rsid w:val="00AF55EE"/>
    <w:rsid w:val="00AF5FFE"/>
    <w:rsid w:val="00B32510"/>
    <w:rsid w:val="00B32974"/>
    <w:rsid w:val="00B32FE2"/>
    <w:rsid w:val="00B33EBB"/>
    <w:rsid w:val="00B3661E"/>
    <w:rsid w:val="00B42332"/>
    <w:rsid w:val="00B4451E"/>
    <w:rsid w:val="00B90FFF"/>
    <w:rsid w:val="00BA09D5"/>
    <w:rsid w:val="00BA2EDD"/>
    <w:rsid w:val="00BF3C13"/>
    <w:rsid w:val="00C05DD5"/>
    <w:rsid w:val="00C10547"/>
    <w:rsid w:val="00C136CE"/>
    <w:rsid w:val="00C208C6"/>
    <w:rsid w:val="00C25AF7"/>
    <w:rsid w:val="00C313AA"/>
    <w:rsid w:val="00C43067"/>
    <w:rsid w:val="00C53A68"/>
    <w:rsid w:val="00C64EF6"/>
    <w:rsid w:val="00C704BB"/>
    <w:rsid w:val="00C70B14"/>
    <w:rsid w:val="00C75EF7"/>
    <w:rsid w:val="00C84141"/>
    <w:rsid w:val="00CA1271"/>
    <w:rsid w:val="00CB394D"/>
    <w:rsid w:val="00CC1DF5"/>
    <w:rsid w:val="00CC27E0"/>
    <w:rsid w:val="00CD1BD4"/>
    <w:rsid w:val="00CD3F65"/>
    <w:rsid w:val="00CE43C5"/>
    <w:rsid w:val="00D31A20"/>
    <w:rsid w:val="00D41BD2"/>
    <w:rsid w:val="00D51655"/>
    <w:rsid w:val="00D54FEA"/>
    <w:rsid w:val="00D55593"/>
    <w:rsid w:val="00D55993"/>
    <w:rsid w:val="00D6329B"/>
    <w:rsid w:val="00D654F8"/>
    <w:rsid w:val="00D97E94"/>
    <w:rsid w:val="00DA4D60"/>
    <w:rsid w:val="00DE0717"/>
    <w:rsid w:val="00DE7CDD"/>
    <w:rsid w:val="00DF5BF7"/>
    <w:rsid w:val="00E06905"/>
    <w:rsid w:val="00E07C91"/>
    <w:rsid w:val="00E1753B"/>
    <w:rsid w:val="00E211BE"/>
    <w:rsid w:val="00E226EE"/>
    <w:rsid w:val="00E2366A"/>
    <w:rsid w:val="00E24609"/>
    <w:rsid w:val="00E31D39"/>
    <w:rsid w:val="00E35E9C"/>
    <w:rsid w:val="00E63775"/>
    <w:rsid w:val="00E64208"/>
    <w:rsid w:val="00E84159"/>
    <w:rsid w:val="00E90691"/>
    <w:rsid w:val="00E950EB"/>
    <w:rsid w:val="00EB190B"/>
    <w:rsid w:val="00EF029E"/>
    <w:rsid w:val="00F02A1E"/>
    <w:rsid w:val="00F11B31"/>
    <w:rsid w:val="00F136F4"/>
    <w:rsid w:val="00F14B31"/>
    <w:rsid w:val="00F1798C"/>
    <w:rsid w:val="00F24388"/>
    <w:rsid w:val="00F329EE"/>
    <w:rsid w:val="00F35EF7"/>
    <w:rsid w:val="00F3686F"/>
    <w:rsid w:val="00F60C67"/>
    <w:rsid w:val="00F64E88"/>
    <w:rsid w:val="00F653F2"/>
    <w:rsid w:val="00F93CBF"/>
    <w:rsid w:val="00F95FCF"/>
    <w:rsid w:val="00FA1714"/>
    <w:rsid w:val="00FA4069"/>
    <w:rsid w:val="00FB08F1"/>
    <w:rsid w:val="00FB4FA8"/>
    <w:rsid w:val="00FB7C9D"/>
    <w:rsid w:val="00FE0125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190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10547"/>
    <w:pPr>
      <w:keepNext/>
      <w:keepLines/>
      <w:numPr>
        <w:numId w:val="16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10547"/>
    <w:pPr>
      <w:keepNext/>
      <w:keepLines/>
      <w:numPr>
        <w:ilvl w:val="1"/>
        <w:numId w:val="1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C10547"/>
    <w:pPr>
      <w:keepNext/>
      <w:keepLines/>
      <w:numPr>
        <w:ilvl w:val="2"/>
        <w:numId w:val="1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C10547"/>
    <w:pPr>
      <w:keepNext/>
      <w:keepLines/>
      <w:numPr>
        <w:ilvl w:val="3"/>
        <w:numId w:val="1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10547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C10547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10547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10547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10547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naNejedlov-Popistabulky">
    <w:name w:val="Dana Nejedlová - Popis tabulky"/>
    <w:basedOn w:val="Normln"/>
    <w:next w:val="DanaNejedlov-Text"/>
    <w:rsid w:val="00755CF2"/>
    <w:pPr>
      <w:keepNext/>
      <w:keepLines/>
      <w:numPr>
        <w:numId w:val="15"/>
      </w:numPr>
      <w:spacing w:before="120"/>
      <w:ind w:left="851" w:hanging="851"/>
      <w:jc w:val="both"/>
    </w:pPr>
  </w:style>
  <w:style w:type="paragraph" w:styleId="Textpoznpodarou">
    <w:name w:val="footnote text"/>
    <w:basedOn w:val="Normln"/>
    <w:semiHidden/>
    <w:rsid w:val="00A77677"/>
    <w:pPr>
      <w:jc w:val="both"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A6C3D"/>
    <w:rPr>
      <w:vertAlign w:val="superscript"/>
    </w:rPr>
  </w:style>
  <w:style w:type="paragraph" w:customStyle="1" w:styleId="DanaNejedlov-Popisobrzku">
    <w:name w:val="Dana Nejedlová - Popis obrázku"/>
    <w:basedOn w:val="Normln"/>
    <w:next w:val="DanaNejedlov-Zdrojtabulkyneboobrzku"/>
    <w:rsid w:val="00BA2EDD"/>
    <w:pPr>
      <w:keepNext/>
      <w:keepLines/>
      <w:numPr>
        <w:numId w:val="14"/>
      </w:numPr>
      <w:ind w:left="851" w:hanging="851"/>
      <w:jc w:val="both"/>
    </w:pPr>
  </w:style>
  <w:style w:type="paragraph" w:customStyle="1" w:styleId="DanaNejedlov-Obrzek">
    <w:name w:val="Dana Nejedlová - Obrázek"/>
    <w:basedOn w:val="Normln"/>
    <w:next w:val="DanaNejedlov-Popisobrzku"/>
    <w:rsid w:val="003D41DE"/>
    <w:pPr>
      <w:keepNext/>
      <w:spacing w:before="120"/>
      <w:jc w:val="center"/>
    </w:pPr>
  </w:style>
  <w:style w:type="character" w:styleId="Hypertextovodkaz">
    <w:name w:val="Hyperlink"/>
    <w:basedOn w:val="Standardnpsmoodstavce"/>
    <w:rsid w:val="00F136F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071D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1D6D"/>
    <w:rPr>
      <w:rFonts w:ascii="Tahoma" w:hAnsi="Tahoma" w:cs="Tahoma"/>
      <w:sz w:val="16"/>
      <w:szCs w:val="16"/>
    </w:rPr>
  </w:style>
  <w:style w:type="paragraph" w:customStyle="1" w:styleId="DanaNejedlov-slovanpodnadpis">
    <w:name w:val="Dana Nejedlová - Číslovaný podnadpis"/>
    <w:basedOn w:val="Normln"/>
    <w:next w:val="DanaNejedlov-Text"/>
    <w:rsid w:val="00816A49"/>
    <w:pPr>
      <w:keepNext/>
      <w:keepLines/>
      <w:numPr>
        <w:numId w:val="17"/>
      </w:numPr>
      <w:spacing w:before="240" w:after="120"/>
    </w:pPr>
    <w:rPr>
      <w:b/>
      <w:sz w:val="28"/>
    </w:rPr>
  </w:style>
  <w:style w:type="paragraph" w:customStyle="1" w:styleId="DanaNejedlov-Nadpis">
    <w:name w:val="Dana Nejedlová - Nadpis"/>
    <w:basedOn w:val="Normln"/>
    <w:next w:val="DanaNejedlov-Text"/>
    <w:rsid w:val="00D31A20"/>
    <w:pPr>
      <w:keepNext/>
      <w:keepLines/>
      <w:pageBreakBefore/>
      <w:spacing w:after="120"/>
      <w:jc w:val="center"/>
    </w:pPr>
    <w:rPr>
      <w:b/>
      <w:bCs/>
      <w:sz w:val="40"/>
      <w:szCs w:val="20"/>
    </w:rPr>
  </w:style>
  <w:style w:type="paragraph" w:customStyle="1" w:styleId="DanaNejedlov-Text">
    <w:name w:val="Dana Nejedlová - Text"/>
    <w:basedOn w:val="Normln"/>
    <w:rsid w:val="009B66E2"/>
    <w:pPr>
      <w:spacing w:after="12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C10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C10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C1054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C105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C105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C1054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C1054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1054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C105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anaNejedlov-Zdrojtabulkyneboobrzku">
    <w:name w:val="Dana Nejedlová - Zdroj tabulky nebo obrázku"/>
    <w:basedOn w:val="Normln"/>
    <w:next w:val="DanaNejedlov-Text"/>
    <w:qFormat/>
    <w:rsid w:val="00BA2EDD"/>
    <w:pPr>
      <w:keepLines/>
      <w:spacing w:after="240"/>
      <w:ind w:left="709" w:hanging="709"/>
    </w:pPr>
    <w:rPr>
      <w:i/>
    </w:rPr>
  </w:style>
  <w:style w:type="character" w:styleId="Sledovanodkaz">
    <w:name w:val="FollowedHyperlink"/>
    <w:basedOn w:val="Standardnpsmoodstavce"/>
    <w:rsid w:val="000949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190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10547"/>
    <w:pPr>
      <w:keepNext/>
      <w:keepLines/>
      <w:numPr>
        <w:numId w:val="16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10547"/>
    <w:pPr>
      <w:keepNext/>
      <w:keepLines/>
      <w:numPr>
        <w:ilvl w:val="1"/>
        <w:numId w:val="1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C10547"/>
    <w:pPr>
      <w:keepNext/>
      <w:keepLines/>
      <w:numPr>
        <w:ilvl w:val="2"/>
        <w:numId w:val="1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C10547"/>
    <w:pPr>
      <w:keepNext/>
      <w:keepLines/>
      <w:numPr>
        <w:ilvl w:val="3"/>
        <w:numId w:val="1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10547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C10547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10547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10547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10547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naNejedlov-Popistabulky">
    <w:name w:val="Dana Nejedlová - Popis tabulky"/>
    <w:basedOn w:val="Normln"/>
    <w:next w:val="DanaNejedlov-Text"/>
    <w:rsid w:val="00755CF2"/>
    <w:pPr>
      <w:keepNext/>
      <w:keepLines/>
      <w:numPr>
        <w:numId w:val="15"/>
      </w:numPr>
      <w:spacing w:before="120"/>
      <w:ind w:left="851" w:hanging="851"/>
      <w:jc w:val="both"/>
    </w:pPr>
  </w:style>
  <w:style w:type="paragraph" w:styleId="Textpoznpodarou">
    <w:name w:val="footnote text"/>
    <w:basedOn w:val="Normln"/>
    <w:semiHidden/>
    <w:rsid w:val="00A77677"/>
    <w:pPr>
      <w:jc w:val="both"/>
    </w:pPr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A6C3D"/>
    <w:rPr>
      <w:vertAlign w:val="superscript"/>
    </w:rPr>
  </w:style>
  <w:style w:type="paragraph" w:customStyle="1" w:styleId="DanaNejedlov-Popisobrzku">
    <w:name w:val="Dana Nejedlová - Popis obrázku"/>
    <w:basedOn w:val="Normln"/>
    <w:next w:val="DanaNejedlov-Zdrojtabulkyneboobrzku"/>
    <w:rsid w:val="00BA2EDD"/>
    <w:pPr>
      <w:keepNext/>
      <w:keepLines/>
      <w:numPr>
        <w:numId w:val="14"/>
      </w:numPr>
      <w:ind w:left="851" w:hanging="851"/>
      <w:jc w:val="both"/>
    </w:pPr>
  </w:style>
  <w:style w:type="paragraph" w:customStyle="1" w:styleId="DanaNejedlov-Obrzek">
    <w:name w:val="Dana Nejedlová - Obrázek"/>
    <w:basedOn w:val="Normln"/>
    <w:next w:val="DanaNejedlov-Popisobrzku"/>
    <w:rsid w:val="003D41DE"/>
    <w:pPr>
      <w:keepNext/>
      <w:spacing w:before="120"/>
      <w:jc w:val="center"/>
    </w:pPr>
  </w:style>
  <w:style w:type="character" w:styleId="Hypertextovodkaz">
    <w:name w:val="Hyperlink"/>
    <w:basedOn w:val="Standardnpsmoodstavce"/>
    <w:rsid w:val="00F136F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071D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1D6D"/>
    <w:rPr>
      <w:rFonts w:ascii="Tahoma" w:hAnsi="Tahoma" w:cs="Tahoma"/>
      <w:sz w:val="16"/>
      <w:szCs w:val="16"/>
    </w:rPr>
  </w:style>
  <w:style w:type="paragraph" w:customStyle="1" w:styleId="DanaNejedlov-slovanpodnadpis">
    <w:name w:val="Dana Nejedlová - Číslovaný podnadpis"/>
    <w:basedOn w:val="Normln"/>
    <w:next w:val="DanaNejedlov-Text"/>
    <w:rsid w:val="00816A49"/>
    <w:pPr>
      <w:keepNext/>
      <w:keepLines/>
      <w:numPr>
        <w:numId w:val="17"/>
      </w:numPr>
      <w:spacing w:before="240" w:after="120"/>
    </w:pPr>
    <w:rPr>
      <w:b/>
      <w:sz w:val="28"/>
    </w:rPr>
  </w:style>
  <w:style w:type="paragraph" w:customStyle="1" w:styleId="DanaNejedlov-Nadpis">
    <w:name w:val="Dana Nejedlová - Nadpis"/>
    <w:basedOn w:val="Normln"/>
    <w:next w:val="DanaNejedlov-Text"/>
    <w:rsid w:val="00D31A20"/>
    <w:pPr>
      <w:keepNext/>
      <w:keepLines/>
      <w:pageBreakBefore/>
      <w:spacing w:after="120"/>
      <w:jc w:val="center"/>
    </w:pPr>
    <w:rPr>
      <w:b/>
      <w:bCs/>
      <w:sz w:val="40"/>
      <w:szCs w:val="20"/>
    </w:rPr>
  </w:style>
  <w:style w:type="paragraph" w:customStyle="1" w:styleId="DanaNejedlov-Text">
    <w:name w:val="Dana Nejedlová - Text"/>
    <w:basedOn w:val="Normln"/>
    <w:rsid w:val="009B66E2"/>
    <w:pPr>
      <w:spacing w:after="12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C10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C105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C1054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C1054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C105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C1054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C1054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C1054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C105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anaNejedlov-Zdrojtabulkyneboobrzku">
    <w:name w:val="Dana Nejedlová - Zdroj tabulky nebo obrázku"/>
    <w:basedOn w:val="Normln"/>
    <w:next w:val="DanaNejedlov-Text"/>
    <w:qFormat/>
    <w:rsid w:val="00BA2EDD"/>
    <w:pPr>
      <w:keepLines/>
      <w:spacing w:after="240"/>
      <w:ind w:left="709" w:hanging="709"/>
    </w:pPr>
    <w:rPr>
      <w:i/>
    </w:rPr>
  </w:style>
  <w:style w:type="character" w:styleId="Sledovanodkaz">
    <w:name w:val="FollowedHyperlink"/>
    <w:basedOn w:val="Standardnpsmoodstavce"/>
    <w:rsid w:val="000949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na\V&#253;uka\Studenti\D&#225;lka&#345;i\D&#225;lk23-24\Zad&#225;n&#237;_Vypracov&#225;n&#23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na\V&#253;uka\Studenti\D&#225;lka&#345;i\D&#225;lk23-24\00_vypracov&#225;n&#237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na\V&#253;uka\Studenti\D&#225;lka&#345;i\D&#225;lk23-24\Zad&#225;n&#237;_Vypracov&#225;n&#237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na\V&#253;uka\Studenti\D&#225;lka&#345;i\D&#225;lk23-24\Zad&#225;n&#237;_Vypracov&#225;n&#237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na\V&#253;uka\Studenti\D&#225;lka&#345;i\D&#225;lk23-24\Zad&#225;n&#237;_Vypracov&#225;n&#23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[Zadání_Vypracování.xlsx]Produktivita!Kontingenční tabulka 1</c:name>
    <c:fmtId val="-1"/>
  </c:pivotSource>
  <c:chart>
    <c:autoTitleDeleted val="0"/>
    <c:pivotFmts>
      <c:pivotFmt>
        <c:idx val="0"/>
        <c:marker>
          <c:symbol val="none"/>
        </c:marker>
      </c:pivotFmt>
      <c:pivotFmt>
        <c:idx val="1"/>
        <c:marker>
          <c:symbol val="none"/>
        </c:marker>
      </c:pivotFmt>
      <c:pivotFmt>
        <c:idx val="2"/>
        <c:marker>
          <c:symbol val="none"/>
        </c:marker>
      </c:pivotFmt>
      <c:pivotFmt>
        <c:idx val="3"/>
        <c:marker>
          <c:symbol val="none"/>
        </c:marker>
      </c:pivotFmt>
      <c:pivotFmt>
        <c:idx val="4"/>
        <c:marker>
          <c:symbol val="none"/>
        </c:marker>
      </c:pivotFmt>
      <c:pivotFmt>
        <c:idx val="5"/>
        <c:marker>
          <c:symbol val="none"/>
        </c:marker>
      </c:pivotFmt>
      <c:pivotFmt>
        <c:idx val="6"/>
        <c:marker>
          <c:symbol val="none"/>
        </c:marker>
      </c:pivotFmt>
      <c:pivotFmt>
        <c:idx val="7"/>
        <c:marker>
          <c:symbol val="none"/>
        </c:marker>
      </c:pivotFmt>
      <c:pivotFmt>
        <c:idx val="8"/>
        <c:marker>
          <c:symbol val="none"/>
        </c:marker>
      </c:pivotFmt>
      <c:pivotFmt>
        <c:idx val="9"/>
        <c:marker>
          <c:symbol val="none"/>
        </c:marker>
      </c:pivotFmt>
      <c:pivotFmt>
        <c:idx val="10"/>
        <c:marker>
          <c:symbol val="none"/>
        </c:marker>
      </c:pivotFmt>
      <c:pivotFmt>
        <c:idx val="11"/>
        <c:marker>
          <c:symbol val="none"/>
        </c:marker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</c:pivotFmt>
      <c:pivotFmt>
        <c:idx val="14"/>
        <c:marker>
          <c:symbol val="none"/>
        </c:marker>
      </c:pivotFmt>
      <c:pivotFmt>
        <c:idx val="15"/>
        <c:marker>
          <c:symbol val="none"/>
        </c:marker>
      </c:pivotFmt>
      <c:pivotFmt>
        <c:idx val="16"/>
        <c:marker>
          <c:symbol val="none"/>
        </c:marker>
      </c:pivotFmt>
      <c:pivotFmt>
        <c:idx val="17"/>
        <c:marker>
          <c:symbol val="none"/>
        </c:marker>
      </c:pivotFmt>
      <c:pivotFmt>
        <c:idx val="18"/>
        <c:marker>
          <c:symbol val="none"/>
        </c:marker>
      </c:pivotFmt>
      <c:pivotFmt>
        <c:idx val="19"/>
        <c:marker>
          <c:symbol val="none"/>
        </c:marker>
      </c:pivotFmt>
      <c:pivotFmt>
        <c:idx val="20"/>
        <c:marker>
          <c:symbol val="none"/>
        </c:marker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Produktivita!$A$5</c:f>
              <c:strCache>
                <c:ptCount val="1"/>
                <c:pt idx="0">
                  <c:v>hlídání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-73.5</c:v>
                </c:pt>
                <c:pt idx="4">
                  <c:v>-29.875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</c:ser>
        <c:ser>
          <c:idx val="1"/>
          <c:order val="1"/>
          <c:tx>
            <c:strRef>
              <c:f>Produktivita!$A$5</c:f>
              <c:strCache>
                <c:ptCount val="1"/>
                <c:pt idx="0">
                  <c:v>ošetřování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-20</c:v>
                </c:pt>
                <c:pt idx="7">
                  <c:v>368.76923076923077</c:v>
                </c:pt>
                <c:pt idx="8">
                  <c:v>-36.299999999999997</c:v>
                </c:pt>
                <c:pt idx="9">
                  <c:v>-25</c:v>
                </c:pt>
                <c:pt idx="10">
                  <c:v>-6.3076923076923075</c:v>
                </c:pt>
                <c:pt idx="11">
                  <c:v>0</c:v>
                </c:pt>
              </c:numCache>
            </c:numRef>
          </c:val>
        </c:ser>
        <c:ser>
          <c:idx val="2"/>
          <c:order val="2"/>
          <c:tx>
            <c:strRef>
              <c:f>Produktivita!$A$5</c:f>
              <c:strCache>
                <c:ptCount val="1"/>
                <c:pt idx="0">
                  <c:v>poradenství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-63.4</c:v>
                </c:pt>
                <c:pt idx="1">
                  <c:v>131.5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792</c:v>
                </c:pt>
                <c:pt idx="9">
                  <c:v>0</c:v>
                </c:pt>
                <c:pt idx="10">
                  <c:v>0</c:v>
                </c:pt>
                <c:pt idx="11">
                  <c:v>795.5</c:v>
                </c:pt>
              </c:numCache>
            </c:numRef>
          </c:val>
        </c:ser>
        <c:ser>
          <c:idx val="3"/>
          <c:order val="3"/>
          <c:tx>
            <c:strRef>
              <c:f>Produktivita!$A$5</c:f>
              <c:strCache>
                <c:ptCount val="1"/>
                <c:pt idx="0">
                  <c:v>sběr plodin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0</c:v>
                </c:pt>
                <c:pt idx="1">
                  <c:v>59.555555555555557</c:v>
                </c:pt>
                <c:pt idx="2">
                  <c:v>85.666666666666671</c:v>
                </c:pt>
                <c:pt idx="3">
                  <c:v>-17.818181818181817</c:v>
                </c:pt>
                <c:pt idx="4">
                  <c:v>74.5</c:v>
                </c:pt>
                <c:pt idx="5">
                  <c:v>0</c:v>
                </c:pt>
                <c:pt idx="6">
                  <c:v>179</c:v>
                </c:pt>
                <c:pt idx="7">
                  <c:v>0</c:v>
                </c:pt>
                <c:pt idx="8">
                  <c:v>0</c:v>
                </c:pt>
                <c:pt idx="9">
                  <c:v>-54.8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</c:ser>
        <c:ser>
          <c:idx val="4"/>
          <c:order val="4"/>
          <c:tx>
            <c:strRef>
              <c:f>Produktivita!$A$5</c:f>
              <c:strCache>
                <c:ptCount val="1"/>
                <c:pt idx="0">
                  <c:v>údržba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1284.1666666666667</c:v>
                </c:pt>
                <c:pt idx="1">
                  <c:v>53.75</c:v>
                </c:pt>
                <c:pt idx="2">
                  <c:v>16.833333333333332</c:v>
                </c:pt>
                <c:pt idx="3">
                  <c:v>38.200000000000003</c:v>
                </c:pt>
                <c:pt idx="4">
                  <c:v>25.833333333333332</c:v>
                </c:pt>
                <c:pt idx="5">
                  <c:v>22.571428571428573</c:v>
                </c:pt>
                <c:pt idx="6">
                  <c:v>0</c:v>
                </c:pt>
                <c:pt idx="7">
                  <c:v>-46.8</c:v>
                </c:pt>
                <c:pt idx="8">
                  <c:v>-18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</c:ser>
        <c:ser>
          <c:idx val="5"/>
          <c:order val="5"/>
          <c:tx>
            <c:strRef>
              <c:f>Produktivita!$A$5</c:f>
              <c:strCache>
                <c:ptCount val="1"/>
                <c:pt idx="0">
                  <c:v>úklid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52.5</c:v>
                </c:pt>
                <c:pt idx="3">
                  <c:v>0</c:v>
                </c:pt>
                <c:pt idx="4">
                  <c:v>47.692307692307693</c:v>
                </c:pt>
                <c:pt idx="5">
                  <c:v>-38.93333333333333</c:v>
                </c:pt>
                <c:pt idx="6">
                  <c:v>0</c:v>
                </c:pt>
                <c:pt idx="7">
                  <c:v>0</c:v>
                </c:pt>
                <c:pt idx="8">
                  <c:v>6.7142857142857144</c:v>
                </c:pt>
                <c:pt idx="9">
                  <c:v>47.8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</c:ser>
        <c:ser>
          <c:idx val="6"/>
          <c:order val="6"/>
          <c:tx>
            <c:strRef>
              <c:f>Produktivita!$A$5</c:f>
              <c:strCache>
                <c:ptCount val="1"/>
                <c:pt idx="0">
                  <c:v>výcvik</c:v>
                </c:pt>
              </c:strCache>
            </c:strRef>
          </c:tx>
          <c:invertIfNegative val="0"/>
          <c:cat>
            <c:strRef>
              <c:f>Produktivita!$A$5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Produktivita!$A$5</c:f>
              <c:numCache>
                <c:formatCode>0.00</c:formatCode>
                <c:ptCount val="12"/>
                <c:pt idx="0">
                  <c:v>0</c:v>
                </c:pt>
                <c:pt idx="1">
                  <c:v>-71.666666666666671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-36.200000000000003</c:v>
                </c:pt>
                <c:pt idx="8">
                  <c:v>-36.375</c:v>
                </c:pt>
                <c:pt idx="9">
                  <c:v>-16</c:v>
                </c:pt>
                <c:pt idx="10">
                  <c:v>-20.333333333333332</c:v>
                </c:pt>
                <c:pt idx="11">
                  <c:v>33.888888888888886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888384"/>
        <c:axId val="143890304"/>
      </c:barChart>
      <c:catAx>
        <c:axId val="143888384"/>
        <c:scaling>
          <c:orientation val="minMax"/>
        </c:scaling>
        <c:delete val="0"/>
        <c:axPos val="b"/>
        <c:title>
          <c:tx>
            <c:strRef>
              <c:f>Produktivita!$A$5</c:f>
              <c:strCache>
                <c:ptCount val="1"/>
                <c:pt idx="0">
                  <c:v>Měsíc</c:v>
                </c:pt>
              </c:strCache>
            </c:strRef>
          </c:tx>
          <c:overlay val="0"/>
        </c:title>
        <c:majorTickMark val="out"/>
        <c:minorTickMark val="none"/>
        <c:tickLblPos val="nextTo"/>
        <c:crossAx val="143890304"/>
        <c:crosses val="autoZero"/>
        <c:auto val="1"/>
        <c:lblAlgn val="ctr"/>
        <c:lblOffset val="100"/>
        <c:noMultiLvlLbl val="0"/>
      </c:catAx>
      <c:valAx>
        <c:axId val="143890304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crossAx val="1438883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[00_vypracování.xlsx]Výnosy!Kontingenční tabulka 1</c:name>
    <c:fmtId val="-1"/>
  </c:pivotSource>
  <c:chart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</c:pivotFmt>
      <c:pivotFmt>
        <c:idx val="7"/>
      </c:pivotFmt>
      <c:pivotFmt>
        <c:idx val="8"/>
      </c:pivotFmt>
      <c:pivotFmt>
        <c:idx val="9"/>
      </c:pivotFmt>
      <c:pivotFmt>
        <c:idx val="10"/>
      </c:pivotFmt>
      <c:pivotFmt>
        <c:idx val="11"/>
      </c:pivotFmt>
      <c:pivotFmt>
        <c:idx val="12"/>
      </c:pivotFmt>
      <c:pivotFmt>
        <c:idx val="13"/>
      </c:pivotFmt>
      <c:pivotFmt>
        <c:idx val="14"/>
      </c:pivotFmt>
      <c:pivotFmt>
        <c:idx val="15"/>
      </c:pivotFmt>
      <c:pivotFmt>
        <c:idx val="16"/>
      </c:pivotFmt>
      <c:pivotFmt>
        <c:idx val="17"/>
      </c:pivotFmt>
      <c:pivotFmt>
        <c:idx val="18"/>
      </c:pivotFmt>
      <c:pivotFmt>
        <c:idx val="19"/>
      </c:pivotFmt>
      <c:pivotFmt>
        <c:idx val="20"/>
      </c:pivotFmt>
    </c:pivotFmts>
    <c:plotArea>
      <c:layout/>
      <c:lineChart>
        <c:grouping val="standard"/>
        <c:varyColors val="0"/>
        <c:ser>
          <c:idx val="0"/>
          <c:order val="0"/>
          <c:tx>
            <c:strRef>
              <c:f>Výnosy!$A$4</c:f>
              <c:strCache>
                <c:ptCount val="1"/>
                <c:pt idx="0">
                  <c:v>hlídání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0">
                  <c:v>618437</c:v>
                </c:pt>
                <c:pt idx="1">
                  <c:v>868973</c:v>
                </c:pt>
                <c:pt idx="2">
                  <c:v>1273280</c:v>
                </c:pt>
                <c:pt idx="3">
                  <c:v>1287174</c:v>
                </c:pt>
                <c:pt idx="4">
                  <c:v>953507</c:v>
                </c:pt>
                <c:pt idx="5">
                  <c:v>770695</c:v>
                </c:pt>
                <c:pt idx="6">
                  <c:v>363744</c:v>
                </c:pt>
                <c:pt idx="7">
                  <c:v>158737</c:v>
                </c:pt>
                <c:pt idx="8">
                  <c:v>12094</c:v>
                </c:pt>
                <c:pt idx="10">
                  <c:v>54750</c:v>
                </c:pt>
                <c:pt idx="11">
                  <c:v>481138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Výnosy!$A$4</c:f>
              <c:strCache>
                <c:ptCount val="1"/>
                <c:pt idx="0">
                  <c:v>ošetřování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0">
                  <c:v>1025121</c:v>
                </c:pt>
                <c:pt idx="1">
                  <c:v>499671</c:v>
                </c:pt>
                <c:pt idx="2">
                  <c:v>291144</c:v>
                </c:pt>
                <c:pt idx="3">
                  <c:v>106385</c:v>
                </c:pt>
                <c:pt idx="5">
                  <c:v>177727</c:v>
                </c:pt>
                <c:pt idx="6">
                  <c:v>568445</c:v>
                </c:pt>
                <c:pt idx="7">
                  <c:v>1502216</c:v>
                </c:pt>
                <c:pt idx="8">
                  <c:v>1931146</c:v>
                </c:pt>
                <c:pt idx="9">
                  <c:v>1843002</c:v>
                </c:pt>
                <c:pt idx="10">
                  <c:v>1508047</c:v>
                </c:pt>
                <c:pt idx="11">
                  <c:v>1264560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Výnosy!$A$4</c:f>
              <c:strCache>
                <c:ptCount val="1"/>
                <c:pt idx="0">
                  <c:v>poradenství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0">
                  <c:v>1159233</c:v>
                </c:pt>
                <c:pt idx="1">
                  <c:v>535724</c:v>
                </c:pt>
                <c:pt idx="2">
                  <c:v>382347</c:v>
                </c:pt>
                <c:pt idx="3">
                  <c:v>104683</c:v>
                </c:pt>
                <c:pt idx="4">
                  <c:v>48732</c:v>
                </c:pt>
                <c:pt idx="6">
                  <c:v>1389</c:v>
                </c:pt>
                <c:pt idx="7">
                  <c:v>103907</c:v>
                </c:pt>
                <c:pt idx="8">
                  <c:v>293367</c:v>
                </c:pt>
                <c:pt idx="9">
                  <c:v>618997</c:v>
                </c:pt>
                <c:pt idx="10">
                  <c:v>1161761</c:v>
                </c:pt>
                <c:pt idx="11">
                  <c:v>1494759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Výnosy!$A$4</c:f>
              <c:strCache>
                <c:ptCount val="1"/>
                <c:pt idx="0">
                  <c:v>sběr plodin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0">
                  <c:v>984698</c:v>
                </c:pt>
                <c:pt idx="1">
                  <c:v>977857</c:v>
                </c:pt>
                <c:pt idx="2">
                  <c:v>1063371</c:v>
                </c:pt>
                <c:pt idx="3">
                  <c:v>1174669</c:v>
                </c:pt>
                <c:pt idx="4">
                  <c:v>1129060</c:v>
                </c:pt>
                <c:pt idx="5">
                  <c:v>972852</c:v>
                </c:pt>
                <c:pt idx="6">
                  <c:v>928871</c:v>
                </c:pt>
                <c:pt idx="7">
                  <c:v>350294</c:v>
                </c:pt>
                <c:pt idx="9">
                  <c:v>266654</c:v>
                </c:pt>
                <c:pt idx="10">
                  <c:v>620854</c:v>
                </c:pt>
                <c:pt idx="11">
                  <c:v>876659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Výnosy!$A$4</c:f>
              <c:strCache>
                <c:ptCount val="1"/>
                <c:pt idx="0">
                  <c:v>údržba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0">
                  <c:v>941251</c:v>
                </c:pt>
                <c:pt idx="1">
                  <c:v>1036495</c:v>
                </c:pt>
                <c:pt idx="2">
                  <c:v>1230302</c:v>
                </c:pt>
                <c:pt idx="3">
                  <c:v>1283111</c:v>
                </c:pt>
                <c:pt idx="4">
                  <c:v>1504828</c:v>
                </c:pt>
                <c:pt idx="5">
                  <c:v>1301322</c:v>
                </c:pt>
                <c:pt idx="6">
                  <c:v>899251</c:v>
                </c:pt>
                <c:pt idx="7">
                  <c:v>808281</c:v>
                </c:pt>
                <c:pt idx="8">
                  <c:v>287214</c:v>
                </c:pt>
                <c:pt idx="10">
                  <c:v>184858</c:v>
                </c:pt>
                <c:pt idx="11">
                  <c:v>507721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Výnosy!$A$4</c:f>
              <c:strCache>
                <c:ptCount val="1"/>
                <c:pt idx="0">
                  <c:v>úklid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1">
                  <c:v>151813</c:v>
                </c:pt>
                <c:pt idx="2">
                  <c:v>557221</c:v>
                </c:pt>
                <c:pt idx="3">
                  <c:v>893290</c:v>
                </c:pt>
                <c:pt idx="4">
                  <c:v>1124667</c:v>
                </c:pt>
                <c:pt idx="5">
                  <c:v>1382018</c:v>
                </c:pt>
                <c:pt idx="6">
                  <c:v>1463547</c:v>
                </c:pt>
                <c:pt idx="7">
                  <c:v>1623552</c:v>
                </c:pt>
                <c:pt idx="8">
                  <c:v>1313008</c:v>
                </c:pt>
                <c:pt idx="9">
                  <c:v>984944</c:v>
                </c:pt>
                <c:pt idx="10">
                  <c:v>625222</c:v>
                </c:pt>
                <c:pt idx="11">
                  <c:v>215742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Výnosy!$A$4</c:f>
              <c:strCache>
                <c:ptCount val="1"/>
                <c:pt idx="0">
                  <c:v>výcvik</c:v>
                </c:pt>
              </c:strCache>
            </c:strRef>
          </c:tx>
          <c:cat>
            <c:strRef>
              <c:f>Výnosy!$A$4</c:f>
              <c:strCach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strCache>
            </c:strRef>
          </c:cat>
          <c:val>
            <c:numRef>
              <c:f>Výnosy!$A$4</c:f>
              <c:numCache>
                <c:formatCode>#,##0</c:formatCode>
                <c:ptCount val="12"/>
                <c:pt idx="0">
                  <c:v>509406</c:v>
                </c:pt>
                <c:pt idx="1">
                  <c:v>246105</c:v>
                </c:pt>
                <c:pt idx="2">
                  <c:v>39472</c:v>
                </c:pt>
                <c:pt idx="3">
                  <c:v>27668</c:v>
                </c:pt>
                <c:pt idx="5">
                  <c:v>3857</c:v>
                </c:pt>
                <c:pt idx="6">
                  <c:v>219285</c:v>
                </c:pt>
                <c:pt idx="7">
                  <c:v>906520</c:v>
                </c:pt>
                <c:pt idx="8">
                  <c:v>1349530</c:v>
                </c:pt>
                <c:pt idx="9">
                  <c:v>1932448</c:v>
                </c:pt>
                <c:pt idx="10">
                  <c:v>1932787</c:v>
                </c:pt>
                <c:pt idx="11">
                  <c:v>1283173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4009472"/>
        <c:axId val="144011648"/>
      </c:lineChart>
      <c:catAx>
        <c:axId val="144009472"/>
        <c:scaling>
          <c:orientation val="minMax"/>
        </c:scaling>
        <c:delete val="0"/>
        <c:axPos val="b"/>
        <c:title>
          <c:tx>
            <c:strRef>
              <c:f>Výnosy!$A$4</c:f>
              <c:strCache>
                <c:ptCount val="1"/>
                <c:pt idx="0">
                  <c:v>Měsíc</c:v>
                </c:pt>
              </c:strCache>
            </c:strRef>
          </c:tx>
          <c:overlay val="0"/>
        </c:title>
        <c:majorTickMark val="out"/>
        <c:minorTickMark val="none"/>
        <c:tickLblPos val="nextTo"/>
        <c:crossAx val="144011648"/>
        <c:crosses val="autoZero"/>
        <c:auto val="1"/>
        <c:lblAlgn val="ctr"/>
        <c:lblOffset val="100"/>
        <c:noMultiLvlLbl val="0"/>
      </c:catAx>
      <c:valAx>
        <c:axId val="14401164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44009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[Zadání_Vypracování.xlsx]Služba!Kontingenční tabulka 2</c:name>
    <c:fmtId val="-1"/>
  </c:pivotSource>
  <c:chart>
    <c:title>
      <c:tx>
        <c:strRef>
          <c:f>Služba!$E$30</c:f>
          <c:strCache>
            <c:ptCount val="1"/>
            <c:pt idx="0">
              <c:v>Počet dní, ve kterých probíhala služba v roce 2000 v měsíci 1</c:v>
            </c:pt>
          </c:strCache>
        </c:strRef>
      </c:tx>
      <c:layout>
        <c:manualLayout>
          <c:xMode val="edge"/>
          <c:yMode val="edge"/>
          <c:x val="0.1241489819526672"/>
          <c:y val="2.7071010117114169E-2"/>
        </c:manualLayout>
      </c:layout>
      <c:overlay val="0"/>
      <c:txPr>
        <a:bodyPr/>
        <a:lstStyle/>
        <a:p>
          <a:pPr>
            <a:defRPr sz="1400"/>
          </a:pPr>
          <a:endParaRPr lang="cs-CZ"/>
        </a:p>
      </c:txPr>
    </c:title>
    <c:autoTitleDeleted val="0"/>
    <c:pivotFmts>
      <c:pivotFmt>
        <c:idx val="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2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3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4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5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6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7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8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9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2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3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4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5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6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7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  <c:pivotFmt>
        <c:idx val="18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dLblPos val="outEnd"/>
          <c:showLegendKey val="0"/>
          <c:showVal val="1"/>
          <c:showCatName val="0"/>
          <c:showSerName val="0"/>
          <c:showPercent val="0"/>
          <c:showBubbleSize val="0"/>
        </c:dLbl>
      </c:pivotFmt>
    </c:pivotFmts>
    <c:plotArea>
      <c:layout>
        <c:manualLayout>
          <c:layoutTarget val="inner"/>
          <c:xMode val="edge"/>
          <c:yMode val="edge"/>
          <c:x val="4.8874732242628088E-2"/>
          <c:y val="0.22053988043161277"/>
          <c:w val="0.93038033612135118"/>
          <c:h val="0.484718941382327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Služba!$E$30</c:f>
              <c:strCache>
                <c:ptCount val="1"/>
                <c:pt idx="0">
                  <c:v>hlídání</c:v>
                </c:pt>
              </c:strCache>
            </c:strRef>
          </c:tx>
          <c:invertIfNegative val="0"/>
          <c:cat>
            <c:strRef>
              <c:f>Služba!$E$30</c:f>
              <c:strCache>
                <c:ptCount val="1"/>
                <c:pt idx="0">
                  <c:v>Celkem</c:v>
                </c:pt>
              </c:strCache>
            </c:strRef>
          </c:cat>
          <c:val>
            <c:numRef>
              <c:f>Služba!$E$30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1"/>
          <c:order val="1"/>
          <c:tx>
            <c:strRef>
              <c:f>Služba!$E$30</c:f>
              <c:strCache>
                <c:ptCount val="1"/>
                <c:pt idx="0">
                  <c:v>ošetřování</c:v>
                </c:pt>
              </c:strCache>
            </c:strRef>
          </c:tx>
          <c:invertIfNegative val="0"/>
          <c:cat>
            <c:strRef>
              <c:f>Služba!$E$30</c:f>
              <c:strCache>
                <c:ptCount val="1"/>
                <c:pt idx="0">
                  <c:v>Celkem</c:v>
                </c:pt>
              </c:strCache>
            </c:strRef>
          </c:cat>
          <c:val>
            <c:numRef>
              <c:f>Služba!$E$30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2"/>
          <c:order val="2"/>
          <c:tx>
            <c:strRef>
              <c:f>Služba!$E$30</c:f>
              <c:strCache>
                <c:ptCount val="1"/>
                <c:pt idx="0">
                  <c:v>poradenství</c:v>
                </c:pt>
              </c:strCache>
            </c:strRef>
          </c:tx>
          <c:invertIfNegative val="0"/>
          <c:cat>
            <c:strRef>
              <c:f>Služba!$E$30</c:f>
              <c:strCache>
                <c:ptCount val="1"/>
                <c:pt idx="0">
                  <c:v>Celkem</c:v>
                </c:pt>
              </c:strCache>
            </c:strRef>
          </c:cat>
          <c:val>
            <c:numRef>
              <c:f>Služba!$E$30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3"/>
          <c:order val="3"/>
          <c:tx>
            <c:strRef>
              <c:f>Služba!$E$30</c:f>
              <c:strCache>
                <c:ptCount val="1"/>
                <c:pt idx="0">
                  <c:v>sběr plodin</c:v>
                </c:pt>
              </c:strCache>
            </c:strRef>
          </c:tx>
          <c:invertIfNegative val="0"/>
          <c:cat>
            <c:strRef>
              <c:f>Služba!$E$30</c:f>
              <c:strCache>
                <c:ptCount val="1"/>
                <c:pt idx="0">
                  <c:v>Celkem</c:v>
                </c:pt>
              </c:strCache>
            </c:strRef>
          </c:cat>
          <c:val>
            <c:numRef>
              <c:f>Služba!$E$30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4"/>
          <c:order val="4"/>
          <c:tx>
            <c:strRef>
              <c:f>Služba!$E$30</c:f>
              <c:strCache>
                <c:ptCount val="1"/>
                <c:pt idx="0">
                  <c:v>údržba</c:v>
                </c:pt>
              </c:strCache>
            </c:strRef>
          </c:tx>
          <c:invertIfNegative val="0"/>
          <c:cat>
            <c:strRef>
              <c:f>Služba!$E$30</c:f>
              <c:strCache>
                <c:ptCount val="1"/>
                <c:pt idx="0">
                  <c:v>Celkem</c:v>
                </c:pt>
              </c:strCache>
            </c:strRef>
          </c:cat>
          <c:val>
            <c:numRef>
              <c:f>Služba!$E$30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5"/>
          <c:order val="5"/>
          <c:tx>
            <c:strRef>
              <c:f>Služba!$E$30</c:f>
              <c:strCache>
                <c:ptCount val="1"/>
                <c:pt idx="0">
                  <c:v>výcvik</c:v>
                </c:pt>
              </c:strCache>
            </c:strRef>
          </c:tx>
          <c:invertIfNegative val="0"/>
          <c:cat>
            <c:strRef>
              <c:f>Služba!$E$30</c:f>
              <c:strCache>
                <c:ptCount val="1"/>
                <c:pt idx="0">
                  <c:v>Celkem</c:v>
                </c:pt>
              </c:strCache>
            </c:strRef>
          </c:cat>
          <c:val>
            <c:numRef>
              <c:f>Služba!$E$30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095488"/>
        <c:axId val="144097280"/>
      </c:barChart>
      <c:catAx>
        <c:axId val="144095488"/>
        <c:scaling>
          <c:orientation val="minMax"/>
        </c:scaling>
        <c:delete val="0"/>
        <c:axPos val="b"/>
        <c:majorTickMark val="out"/>
        <c:minorTickMark val="none"/>
        <c:tickLblPos val="nextTo"/>
        <c:crossAx val="144097280"/>
        <c:crosses val="autoZero"/>
        <c:auto val="1"/>
        <c:lblAlgn val="ctr"/>
        <c:lblOffset val="100"/>
        <c:noMultiLvlLbl val="0"/>
      </c:catAx>
      <c:valAx>
        <c:axId val="144097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09548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1604256740634693"/>
          <c:y val="0.82123869932925053"/>
          <c:w val="0.79443416845621573"/>
          <c:h val="0.12922213316452236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[Zadání_Vypracování.xlsx]Výsledek hospodaření!Kontingenční tabulka 3</c:name>
    <c:fmtId val="-1"/>
  </c:pivotSource>
  <c:chart>
    <c:autoTitleDeleted val="0"/>
    <c:pivotFmts>
      <c:pivotFmt>
        <c:idx val="0"/>
        <c:marker>
          <c:symbol val="none"/>
        </c:marker>
      </c:pivotFmt>
      <c:pivotFmt>
        <c:idx val="1"/>
        <c:marker>
          <c:symbol val="none"/>
        </c:marker>
      </c:pivotFmt>
      <c:pivotFmt>
        <c:idx val="2"/>
        <c:marker>
          <c:symbol val="none"/>
        </c:marker>
      </c:pivotFmt>
      <c:pivotFmt>
        <c:idx val="3"/>
        <c:marker>
          <c:symbol val="none"/>
        </c:marker>
      </c:pivotFmt>
      <c:pivotFmt>
        <c:idx val="4"/>
        <c:marker>
          <c:symbol val="none"/>
        </c:marker>
      </c:pivotFmt>
      <c:pivotFmt>
        <c:idx val="5"/>
        <c:marker>
          <c:symbol val="none"/>
        </c:marker>
      </c:pivotFmt>
      <c:pivotFmt>
        <c:idx val="6"/>
        <c:marker>
          <c:symbol val="none"/>
        </c:marker>
      </c:pivotFmt>
      <c:pivotFmt>
        <c:idx val="7"/>
        <c:marker>
          <c:symbol val="none"/>
        </c:marker>
      </c:pivotFmt>
      <c:pivotFmt>
        <c:idx val="8"/>
        <c:marker>
          <c:symbol val="none"/>
        </c:marker>
      </c:pivotFmt>
      <c:pivotFmt>
        <c:idx val="9"/>
        <c:marker>
          <c:symbol val="none"/>
        </c:marker>
      </c:pivotFmt>
      <c:pivotFmt>
        <c:idx val="10"/>
        <c:marker>
          <c:symbol val="none"/>
        </c:marker>
      </c:pivotFmt>
      <c:pivotFmt>
        <c:idx val="11"/>
        <c:marker>
          <c:symbol val="none"/>
        </c:marker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</c:pivotFmt>
      <c:pivotFmt>
        <c:idx val="14"/>
        <c:marker>
          <c:symbol val="none"/>
        </c:marker>
      </c:pivotFmt>
      <c:pivotFmt>
        <c:idx val="15"/>
        <c:marker>
          <c:symbol val="none"/>
        </c:marker>
      </c:pivotFmt>
      <c:pivotFmt>
        <c:idx val="16"/>
        <c:marker>
          <c:symbol val="none"/>
        </c:marker>
      </c:pivotFmt>
      <c:pivotFmt>
        <c:idx val="17"/>
        <c:marker>
          <c:symbol val="none"/>
        </c:marker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'Výsledek hospodaření'!$B$4:$B$6</c:f>
              <c:strCache>
                <c:ptCount val="1"/>
                <c:pt idx="0">
                  <c:v>poradenství - Součet z Výsledek hospodaření</c:v>
                </c:pt>
              </c:strCache>
            </c:strRef>
          </c:tx>
          <c:invertIfNegative val="0"/>
          <c:cat>
            <c:strRef>
              <c:f>'Výsledek hospodaření'!$A$7:$A$14</c:f>
              <c:strCache>
                <c:ptCount val="7"/>
                <c:pt idx="0">
                  <c:v>3.1.2000</c:v>
                </c:pt>
                <c:pt idx="1">
                  <c:v>8.1.2000</c:v>
                </c:pt>
                <c:pt idx="2">
                  <c:v>12.1.2000</c:v>
                </c:pt>
                <c:pt idx="3">
                  <c:v>16.1.2000</c:v>
                </c:pt>
                <c:pt idx="4">
                  <c:v>21.1.2000</c:v>
                </c:pt>
                <c:pt idx="5">
                  <c:v>25.1.2000</c:v>
                </c:pt>
                <c:pt idx="6">
                  <c:v>29.1.2000</c:v>
                </c:pt>
              </c:strCache>
            </c:strRef>
          </c:cat>
          <c:val>
            <c:numRef>
              <c:f>'Výsledek hospodaření'!$B$7:$B$14</c:f>
              <c:numCache>
                <c:formatCode>General</c:formatCode>
                <c:ptCount val="7"/>
                <c:pt idx="0">
                  <c:v>-317</c:v>
                </c:pt>
                <c:pt idx="1">
                  <c:v>4593</c:v>
                </c:pt>
                <c:pt idx="2">
                  <c:v>142</c:v>
                </c:pt>
                <c:pt idx="3">
                  <c:v>30</c:v>
                </c:pt>
                <c:pt idx="4">
                  <c:v>4279</c:v>
                </c:pt>
                <c:pt idx="5">
                  <c:v>153</c:v>
                </c:pt>
                <c:pt idx="6">
                  <c:v>-162</c:v>
                </c:pt>
              </c:numCache>
            </c:numRef>
          </c:val>
        </c:ser>
        <c:ser>
          <c:idx val="1"/>
          <c:order val="1"/>
          <c:tx>
            <c:strRef>
              <c:f>'Výsledek hospodaření'!$C$4:$C$6</c:f>
              <c:strCache>
                <c:ptCount val="1"/>
                <c:pt idx="0">
                  <c:v>poradenství - Součet z Kumulativní suma výsledku hospodaření za službu, rok a měsíc</c:v>
                </c:pt>
              </c:strCache>
            </c:strRef>
          </c:tx>
          <c:invertIfNegative val="0"/>
          <c:cat>
            <c:strRef>
              <c:f>'Výsledek hospodaření'!$A$7:$A$14</c:f>
              <c:strCache>
                <c:ptCount val="7"/>
                <c:pt idx="0">
                  <c:v>3.1.2000</c:v>
                </c:pt>
                <c:pt idx="1">
                  <c:v>8.1.2000</c:v>
                </c:pt>
                <c:pt idx="2">
                  <c:v>12.1.2000</c:v>
                </c:pt>
                <c:pt idx="3">
                  <c:v>16.1.2000</c:v>
                </c:pt>
                <c:pt idx="4">
                  <c:v>21.1.2000</c:v>
                </c:pt>
                <c:pt idx="5">
                  <c:v>25.1.2000</c:v>
                </c:pt>
                <c:pt idx="6">
                  <c:v>29.1.2000</c:v>
                </c:pt>
              </c:strCache>
            </c:strRef>
          </c:cat>
          <c:val>
            <c:numRef>
              <c:f>'Výsledek hospodaření'!$C$7:$C$14</c:f>
              <c:numCache>
                <c:formatCode>General</c:formatCode>
                <c:ptCount val="7"/>
                <c:pt idx="0">
                  <c:v>-317</c:v>
                </c:pt>
                <c:pt idx="1">
                  <c:v>4276</c:v>
                </c:pt>
                <c:pt idx="2">
                  <c:v>4418</c:v>
                </c:pt>
                <c:pt idx="3">
                  <c:v>4448</c:v>
                </c:pt>
                <c:pt idx="4">
                  <c:v>8727</c:v>
                </c:pt>
                <c:pt idx="5">
                  <c:v>8880</c:v>
                </c:pt>
                <c:pt idx="6">
                  <c:v>8718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601856"/>
        <c:axId val="144603392"/>
      </c:barChart>
      <c:catAx>
        <c:axId val="144601856"/>
        <c:scaling>
          <c:orientation val="minMax"/>
        </c:scaling>
        <c:delete val="0"/>
        <c:axPos val="b"/>
        <c:majorTickMark val="out"/>
        <c:minorTickMark val="none"/>
        <c:tickLblPos val="nextTo"/>
        <c:crossAx val="144603392"/>
        <c:crosses val="autoZero"/>
        <c:auto val="1"/>
        <c:lblAlgn val="ctr"/>
        <c:lblOffset val="100"/>
        <c:noMultiLvlLbl val="0"/>
      </c:catAx>
      <c:valAx>
        <c:axId val="144603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60185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'Whale Curve'!$J$2</c:f>
          <c:strCache>
            <c:ptCount val="1"/>
            <c:pt idx="0">
              <c:v>údržba</c:v>
            </c:pt>
          </c:strCache>
        </c:strRef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'Whale Curve'!$G$1</c:f>
              <c:strCache>
                <c:ptCount val="1"/>
                <c:pt idx="0">
                  <c:v>Kumulativní suma % výsledku hospodaření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2"/>
            <c:spPr>
              <a:ln>
                <a:noFill/>
              </a:ln>
            </c:spPr>
          </c:marker>
          <c:xVal>
            <c:numRef>
              <c:f>'Whale Curve'!$F$2:$F$103</c:f>
              <c:numCache>
                <c:formatCode>General</c:formatCode>
                <c:ptCount val="102"/>
                <c:pt idx="0">
                  <c:v>0</c:v>
                </c:pt>
                <c:pt idx="1">
                  <c:v>6.7430883344571813E-2</c:v>
                </c:pt>
                <c:pt idx="2">
                  <c:v>6.7430883344571813E-2</c:v>
                </c:pt>
                <c:pt idx="3">
                  <c:v>6.7430883344571813E-2</c:v>
                </c:pt>
                <c:pt idx="4">
                  <c:v>0.13486176668914363</c:v>
                </c:pt>
                <c:pt idx="5">
                  <c:v>0.13486176668914363</c:v>
                </c:pt>
                <c:pt idx="6">
                  <c:v>0.13486176668914363</c:v>
                </c:pt>
                <c:pt idx="7">
                  <c:v>0.13486176668914363</c:v>
                </c:pt>
                <c:pt idx="8">
                  <c:v>0.20229265003371544</c:v>
                </c:pt>
                <c:pt idx="9">
                  <c:v>0.20229265003371544</c:v>
                </c:pt>
                <c:pt idx="10">
                  <c:v>0.20229265003371544</c:v>
                </c:pt>
                <c:pt idx="11">
                  <c:v>0.20229265003371544</c:v>
                </c:pt>
                <c:pt idx="12">
                  <c:v>0.20229265003371544</c:v>
                </c:pt>
                <c:pt idx="13">
                  <c:v>0.26972353337828725</c:v>
                </c:pt>
                <c:pt idx="14">
                  <c:v>0.33715441672285906</c:v>
                </c:pt>
                <c:pt idx="15">
                  <c:v>0.33715441672285906</c:v>
                </c:pt>
                <c:pt idx="16">
                  <c:v>0.40458530006743088</c:v>
                </c:pt>
                <c:pt idx="17">
                  <c:v>0.40458530006743088</c:v>
                </c:pt>
                <c:pt idx="18">
                  <c:v>0.47201618341200269</c:v>
                </c:pt>
                <c:pt idx="19">
                  <c:v>0.47201618341200269</c:v>
                </c:pt>
                <c:pt idx="20">
                  <c:v>0.47201618341200269</c:v>
                </c:pt>
                <c:pt idx="21">
                  <c:v>0.47201618341200269</c:v>
                </c:pt>
                <c:pt idx="22">
                  <c:v>0.5394470667565745</c:v>
                </c:pt>
                <c:pt idx="23">
                  <c:v>0.5394470667565745</c:v>
                </c:pt>
                <c:pt idx="24">
                  <c:v>0.60687795010114631</c:v>
                </c:pt>
                <c:pt idx="25">
                  <c:v>0.60687795010114631</c:v>
                </c:pt>
                <c:pt idx="26">
                  <c:v>0.67430883344571813</c:v>
                </c:pt>
                <c:pt idx="27">
                  <c:v>0.80917060013486175</c:v>
                </c:pt>
                <c:pt idx="28">
                  <c:v>0.87660148347943356</c:v>
                </c:pt>
                <c:pt idx="29">
                  <c:v>1.078894133513149</c:v>
                </c:pt>
                <c:pt idx="30">
                  <c:v>1.078894133513149</c:v>
                </c:pt>
                <c:pt idx="31">
                  <c:v>1.078894133513149</c:v>
                </c:pt>
                <c:pt idx="32">
                  <c:v>1.1463250168577208</c:v>
                </c:pt>
                <c:pt idx="33">
                  <c:v>1.2137559002022926</c:v>
                </c:pt>
                <c:pt idx="34">
                  <c:v>1.3486176668914363</c:v>
                </c:pt>
                <c:pt idx="35">
                  <c:v>1.3486176668914363</c:v>
                </c:pt>
                <c:pt idx="36">
                  <c:v>1.4160485502360081</c:v>
                </c:pt>
                <c:pt idx="37">
                  <c:v>1.4834794335805799</c:v>
                </c:pt>
                <c:pt idx="38">
                  <c:v>1.6857720836142953</c:v>
                </c:pt>
                <c:pt idx="39">
                  <c:v>1.8206338503034389</c:v>
                </c:pt>
                <c:pt idx="40">
                  <c:v>1.8206338503034389</c:v>
                </c:pt>
                <c:pt idx="41">
                  <c:v>1.8880647336480108</c:v>
                </c:pt>
                <c:pt idx="42">
                  <c:v>1.8880647336480108</c:v>
                </c:pt>
                <c:pt idx="43">
                  <c:v>1.9554956169925826</c:v>
                </c:pt>
                <c:pt idx="44">
                  <c:v>2.0229265003371544</c:v>
                </c:pt>
                <c:pt idx="45">
                  <c:v>2.157788267026298</c:v>
                </c:pt>
                <c:pt idx="46">
                  <c:v>2.4275118004045853</c:v>
                </c:pt>
                <c:pt idx="47">
                  <c:v>2.8320971004720161</c:v>
                </c:pt>
                <c:pt idx="48">
                  <c:v>2.9669588671611598</c:v>
                </c:pt>
                <c:pt idx="49">
                  <c:v>3.1018206338503034</c:v>
                </c:pt>
                <c:pt idx="50">
                  <c:v>3.3715441672285906</c:v>
                </c:pt>
                <c:pt idx="51">
                  <c:v>3.4389750505731627</c:v>
                </c:pt>
                <c:pt idx="52">
                  <c:v>3.5738368172623063</c:v>
                </c:pt>
                <c:pt idx="53">
                  <c:v>3.7086985839514499</c:v>
                </c:pt>
                <c:pt idx="54">
                  <c:v>3.9109912339851656</c:v>
                </c:pt>
                <c:pt idx="55">
                  <c:v>3.9784221173297372</c:v>
                </c:pt>
                <c:pt idx="56">
                  <c:v>4.1807147673634528</c:v>
                </c:pt>
                <c:pt idx="57">
                  <c:v>4.5178691840863117</c:v>
                </c:pt>
                <c:pt idx="58">
                  <c:v>4.7875927174645989</c:v>
                </c:pt>
                <c:pt idx="59">
                  <c:v>5.0573162508428862</c:v>
                </c:pt>
                <c:pt idx="60">
                  <c:v>5.1921780175320293</c:v>
                </c:pt>
                <c:pt idx="61">
                  <c:v>5.394470667565745</c:v>
                </c:pt>
                <c:pt idx="62">
                  <c:v>5.5967633175994607</c:v>
                </c:pt>
                <c:pt idx="63">
                  <c:v>5.8664868509777479</c:v>
                </c:pt>
                <c:pt idx="64">
                  <c:v>6.3385030343897508</c:v>
                </c:pt>
                <c:pt idx="65">
                  <c:v>6.6082265677680381</c:v>
                </c:pt>
                <c:pt idx="66">
                  <c:v>7.080242751180041</c:v>
                </c:pt>
                <c:pt idx="67">
                  <c:v>7.2825354012137566</c:v>
                </c:pt>
                <c:pt idx="68">
                  <c:v>7.5522589345920439</c:v>
                </c:pt>
                <c:pt idx="69">
                  <c:v>7.7545515846257596</c:v>
                </c:pt>
                <c:pt idx="70">
                  <c:v>8.2265677680377625</c:v>
                </c:pt>
                <c:pt idx="71">
                  <c:v>8.5637221847606213</c:v>
                </c:pt>
                <c:pt idx="72">
                  <c:v>8.6985839514497645</c:v>
                </c:pt>
                <c:pt idx="73">
                  <c:v>9.3054619015509115</c:v>
                </c:pt>
                <c:pt idx="74">
                  <c:v>9.7100472016183428</c:v>
                </c:pt>
                <c:pt idx="75">
                  <c:v>10.114632501685774</c:v>
                </c:pt>
                <c:pt idx="76">
                  <c:v>10.451786918408633</c:v>
                </c:pt>
                <c:pt idx="77">
                  <c:v>11.126095751854351</c:v>
                </c:pt>
                <c:pt idx="78">
                  <c:v>11.530681051921782</c:v>
                </c:pt>
                <c:pt idx="79">
                  <c:v>11.732973701955498</c:v>
                </c:pt>
                <c:pt idx="80">
                  <c:v>12.339851652056645</c:v>
                </c:pt>
                <c:pt idx="81">
                  <c:v>12.744436952124076</c:v>
                </c:pt>
                <c:pt idx="82">
                  <c:v>13.486176668914366</c:v>
                </c:pt>
                <c:pt idx="83">
                  <c:v>14.025623735670941</c:v>
                </c:pt>
                <c:pt idx="84">
                  <c:v>14.902225219150374</c:v>
                </c:pt>
                <c:pt idx="85">
                  <c:v>15.441672285906948</c:v>
                </c:pt>
                <c:pt idx="86">
                  <c:v>16.318273769386384</c:v>
                </c:pt>
                <c:pt idx="87">
                  <c:v>17.397167902899533</c:v>
                </c:pt>
                <c:pt idx="88">
                  <c:v>18.678354686446397</c:v>
                </c:pt>
                <c:pt idx="89">
                  <c:v>20.63385030343898</c:v>
                </c:pt>
                <c:pt idx="90">
                  <c:v>23.398516520566425</c:v>
                </c:pt>
                <c:pt idx="91">
                  <c:v>30.478759271746465</c:v>
                </c:pt>
                <c:pt idx="92">
                  <c:v>44.976399190829405</c:v>
                </c:pt>
                <c:pt idx="93">
                  <c:v>65.87997302764667</c:v>
                </c:pt>
                <c:pt idx="94">
                  <c:v>83.479433580579922</c:v>
                </c:pt>
                <c:pt idx="95">
                  <c:v>92.447741065407968</c:v>
                </c:pt>
                <c:pt idx="96">
                  <c:v>96.561024949426852</c:v>
                </c:pt>
                <c:pt idx="97">
                  <c:v>98.44908968307486</c:v>
                </c:pt>
                <c:pt idx="98">
                  <c:v>99.662845583277146</c:v>
                </c:pt>
                <c:pt idx="99">
                  <c:v>99.932569116655429</c:v>
                </c:pt>
                <c:pt idx="100">
                  <c:v>99.932569116655429</c:v>
                </c:pt>
                <c:pt idx="101">
                  <c:v>100</c:v>
                </c:pt>
              </c:numCache>
            </c:numRef>
          </c:xVal>
          <c:yVal>
            <c:numRef>
              <c:f>'Whale Curve'!$G$2:$G$103</c:f>
              <c:numCache>
                <c:formatCode>General</c:formatCode>
                <c:ptCount val="102"/>
                <c:pt idx="0">
                  <c:v>0</c:v>
                </c:pt>
                <c:pt idx="1">
                  <c:v>1.333914989240955</c:v>
                </c:pt>
                <c:pt idx="2">
                  <c:v>1.333914989240955</c:v>
                </c:pt>
                <c:pt idx="3">
                  <c:v>1.333914989240955</c:v>
                </c:pt>
                <c:pt idx="4">
                  <c:v>2.6208286848537439</c:v>
                </c:pt>
                <c:pt idx="5">
                  <c:v>2.6208286848537439</c:v>
                </c:pt>
                <c:pt idx="6">
                  <c:v>2.6208286848537439</c:v>
                </c:pt>
                <c:pt idx="7">
                  <c:v>2.6208286848537439</c:v>
                </c:pt>
                <c:pt idx="8">
                  <c:v>3.8423458214538857</c:v>
                </c:pt>
                <c:pt idx="9">
                  <c:v>3.8423458214538857</c:v>
                </c:pt>
                <c:pt idx="10">
                  <c:v>3.8423458214538857</c:v>
                </c:pt>
                <c:pt idx="11">
                  <c:v>3.8423458214538857</c:v>
                </c:pt>
                <c:pt idx="12">
                  <c:v>3.8423458214538857</c:v>
                </c:pt>
                <c:pt idx="13">
                  <c:v>4.9994199333161697</c:v>
                </c:pt>
                <c:pt idx="14">
                  <c:v>6.1360725194600452</c:v>
                </c:pt>
                <c:pt idx="15">
                  <c:v>6.1360725194600452</c:v>
                </c:pt>
                <c:pt idx="16">
                  <c:v>7.2487278263550516</c:v>
                </c:pt>
                <c:pt idx="17">
                  <c:v>7.2487278263550516</c:v>
                </c:pt>
                <c:pt idx="18">
                  <c:v>8.3299165021820052</c:v>
                </c:pt>
                <c:pt idx="19">
                  <c:v>8.3299165021820052</c:v>
                </c:pt>
                <c:pt idx="20">
                  <c:v>8.3299165021820052</c:v>
                </c:pt>
                <c:pt idx="21">
                  <c:v>8.3299165021820052</c:v>
                </c:pt>
                <c:pt idx="22">
                  <c:v>9.3502776373963439</c:v>
                </c:pt>
                <c:pt idx="23">
                  <c:v>9.3502776373963439</c:v>
                </c:pt>
                <c:pt idx="24">
                  <c:v>10.352998388527077</c:v>
                </c:pt>
                <c:pt idx="25">
                  <c:v>10.352998388527077</c:v>
                </c:pt>
                <c:pt idx="26">
                  <c:v>11.317379115692315</c:v>
                </c:pt>
                <c:pt idx="27">
                  <c:v>13.226473925605257</c:v>
                </c:pt>
                <c:pt idx="28">
                  <c:v>14.160063441813751</c:v>
                </c:pt>
                <c:pt idx="29">
                  <c:v>16.926703409520723</c:v>
                </c:pt>
                <c:pt idx="30">
                  <c:v>16.926703409520723</c:v>
                </c:pt>
                <c:pt idx="31">
                  <c:v>16.926703409520723</c:v>
                </c:pt>
                <c:pt idx="32">
                  <c:v>17.801372453666183</c:v>
                </c:pt>
                <c:pt idx="33">
                  <c:v>18.666943191606357</c:v>
                </c:pt>
                <c:pt idx="34">
                  <c:v>20.373253045747397</c:v>
                </c:pt>
                <c:pt idx="35">
                  <c:v>20.373253045747397</c:v>
                </c:pt>
                <c:pt idx="36">
                  <c:v>21.203145709572532</c:v>
                </c:pt>
                <c:pt idx="37">
                  <c:v>22.015835025856671</c:v>
                </c:pt>
                <c:pt idx="38">
                  <c:v>24.390691598409504</c:v>
                </c:pt>
                <c:pt idx="39">
                  <c:v>25.962592850400007</c:v>
                </c:pt>
                <c:pt idx="40">
                  <c:v>25.962592850400007</c:v>
                </c:pt>
                <c:pt idx="41">
                  <c:v>26.710561027782809</c:v>
                </c:pt>
                <c:pt idx="42">
                  <c:v>26.710561027782809</c:v>
                </c:pt>
                <c:pt idx="43">
                  <c:v>27.428016108372347</c:v>
                </c:pt>
                <c:pt idx="44">
                  <c:v>28.129261106290464</c:v>
                </c:pt>
                <c:pt idx="45">
                  <c:v>29.521222494509232</c:v>
                </c:pt>
                <c:pt idx="46">
                  <c:v>32.244913689255895</c:v>
                </c:pt>
                <c:pt idx="47">
                  <c:v>36.218807510035951</c:v>
                </c:pt>
                <c:pt idx="48">
                  <c:v>37.522527247241904</c:v>
                </c:pt>
                <c:pt idx="49">
                  <c:v>38.794462508621542</c:v>
                </c:pt>
                <c:pt idx="50">
                  <c:v>41.284815920208253</c:v>
                </c:pt>
                <c:pt idx="51">
                  <c:v>41.895038125478756</c:v>
                </c:pt>
                <c:pt idx="52">
                  <c:v>43.091962023908287</c:v>
                </c:pt>
                <c:pt idx="53">
                  <c:v>44.257300099485413</c:v>
                </c:pt>
                <c:pt idx="54">
                  <c:v>45.955107606342914</c:v>
                </c:pt>
                <c:pt idx="55">
                  <c:v>46.50402550386341</c:v>
                </c:pt>
                <c:pt idx="56">
                  <c:v>48.109816953203726</c:v>
                </c:pt>
                <c:pt idx="57">
                  <c:v>50.720514336387829</c:v>
                </c:pt>
                <c:pt idx="58">
                  <c:v>52.769262186962649</c:v>
                </c:pt>
                <c:pt idx="59">
                  <c:v>54.753209437446571</c:v>
                </c:pt>
                <c:pt idx="60">
                  <c:v>55.710994885877845</c:v>
                </c:pt>
                <c:pt idx="61">
                  <c:v>57.109273438667088</c:v>
                </c:pt>
                <c:pt idx="62">
                  <c:v>58.450101551400266</c:v>
                </c:pt>
                <c:pt idx="63">
                  <c:v>60.169721154793578</c:v>
                </c:pt>
                <c:pt idx="64">
                  <c:v>63.09579999936431</c:v>
                </c:pt>
                <c:pt idx="65">
                  <c:v>64.719430485762146</c:v>
                </c:pt>
                <c:pt idx="66">
                  <c:v>67.471211211020318</c:v>
                </c:pt>
                <c:pt idx="67">
                  <c:v>68.593600513637128</c:v>
                </c:pt>
                <c:pt idx="68">
                  <c:v>70.052150378712028</c:v>
                </c:pt>
                <c:pt idx="69">
                  <c:v>71.09440307165174</c:v>
                </c:pt>
                <c:pt idx="70">
                  <c:v>73.440375501797405</c:v>
                </c:pt>
                <c:pt idx="71">
                  <c:v>75.048431595040341</c:v>
                </c:pt>
                <c:pt idx="72">
                  <c:v>75.653290170015154</c:v>
                </c:pt>
                <c:pt idx="73">
                  <c:v>78.294540380587307</c:v>
                </c:pt>
                <c:pt idx="74">
                  <c:v>79.959570146748916</c:v>
                </c:pt>
                <c:pt idx="75">
                  <c:v>81.544661956207335</c:v>
                </c:pt>
                <c:pt idx="76">
                  <c:v>82.782905673211076</c:v>
                </c:pt>
                <c:pt idx="77">
                  <c:v>85.115488892914911</c:v>
                </c:pt>
                <c:pt idx="78">
                  <c:v>86.441100187846246</c:v>
                </c:pt>
                <c:pt idx="79">
                  <c:v>87.063718338689014</c:v>
                </c:pt>
                <c:pt idx="80">
                  <c:v>88.77956353557795</c:v>
                </c:pt>
                <c:pt idx="81">
                  <c:v>89.8163731370324</c:v>
                </c:pt>
                <c:pt idx="82">
                  <c:v>91.58545733093041</c:v>
                </c:pt>
                <c:pt idx="83">
                  <c:v>92.767919292858963</c:v>
                </c:pt>
                <c:pt idx="84">
                  <c:v>94.521389363007302</c:v>
                </c:pt>
                <c:pt idx="85">
                  <c:v>95.484697364113401</c:v>
                </c:pt>
                <c:pt idx="86">
                  <c:v>96.853019048436352</c:v>
                </c:pt>
                <c:pt idx="87">
                  <c:v>98.300801922325093</c:v>
                </c:pt>
                <c:pt idx="88">
                  <c:v>99.73579154469374</c:v>
                </c:pt>
                <c:pt idx="89">
                  <c:v>101.49093029982296</c:v>
                </c:pt>
                <c:pt idx="90">
                  <c:v>103.37741840130444</c:v>
                </c:pt>
                <c:pt idx="91">
                  <c:v>106.65336486353335</c:v>
                </c:pt>
                <c:pt idx="92">
                  <c:v>110.27103417148996</c:v>
                </c:pt>
                <c:pt idx="93">
                  <c:v>111.30430775000873</c:v>
                </c:pt>
                <c:pt idx="94">
                  <c:v>108.65586630178088</c:v>
                </c:pt>
                <c:pt idx="95">
                  <c:v>105.44968676399073</c:v>
                </c:pt>
                <c:pt idx="96">
                  <c:v>103.14551091955667</c:v>
                </c:pt>
                <c:pt idx="97">
                  <c:v>101.64234359654058</c:v>
                </c:pt>
                <c:pt idx="98">
                  <c:v>100.42650793499439</c:v>
                </c:pt>
                <c:pt idx="99">
                  <c:v>100.10425308071032</c:v>
                </c:pt>
                <c:pt idx="100">
                  <c:v>100.10425308071032</c:v>
                </c:pt>
                <c:pt idx="101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4706176"/>
        <c:axId val="144723968"/>
      </c:scatterChart>
      <c:valAx>
        <c:axId val="144706176"/>
        <c:scaling>
          <c:orientation val="minMax"/>
          <c:max val="100"/>
        </c:scaling>
        <c:delete val="0"/>
        <c:axPos val="b"/>
        <c:majorGridlines>
          <c:spPr>
            <a:ln>
              <a:solidFill>
                <a:schemeClr val="accent1">
                  <a:lumMod val="40000"/>
                  <a:lumOff val="60000"/>
                </a:schemeClr>
              </a:solidFill>
            </a:ln>
          </c:spPr>
        </c:majorGridlines>
        <c:title>
          <c:tx>
            <c:strRef>
              <c:f>'Whale Curve'!$F$1</c:f>
              <c:strCache>
                <c:ptCount val="1"/>
                <c:pt idx="0">
                  <c:v>Kumulativní suma % dní s určitou službou</c:v>
                </c:pt>
              </c:strCache>
            </c:strRef>
          </c:tx>
          <c:overlay val="0"/>
        </c:title>
        <c:numFmt formatCode="General" sourceLinked="1"/>
        <c:majorTickMark val="out"/>
        <c:minorTickMark val="none"/>
        <c:tickLblPos val="nextTo"/>
        <c:crossAx val="144723968"/>
        <c:crosses val="autoZero"/>
        <c:crossBetween val="midCat"/>
      </c:valAx>
      <c:valAx>
        <c:axId val="144723968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40000"/>
                  <a:lumOff val="60000"/>
                </a:schemeClr>
              </a:solidFill>
            </a:ln>
          </c:spPr>
        </c:majorGridlines>
        <c:title>
          <c:tx>
            <c:strRef>
              <c:f>'Whale Curve'!$G$1</c:f>
              <c:strCache>
                <c:ptCount val="1"/>
                <c:pt idx="0">
                  <c:v>Kumulativní suma % výsledku hospodaření</c:v>
                </c:pt>
              </c:strCache>
            </c:strRef>
          </c:tx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General" sourceLinked="1"/>
        <c:majorTickMark val="out"/>
        <c:minorTickMark val="none"/>
        <c:tickLblPos val="nextTo"/>
        <c:crossAx val="144706176"/>
        <c:crosses val="autoZero"/>
        <c:crossBetween val="midCat"/>
        <c:majorUnit val="1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D5580-C615-43FE-888A-DFC429DF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4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Domácí úkol</vt:lpstr>
    </vt:vector>
  </TitlesOfParts>
  <Manager>Doc. Dr. Ing. Olga Hasprová</Manager>
  <Company>Katedra informatiky Hospodářské fakulty TUL</Company>
  <LinksUpToDate>false</LinksUpToDate>
  <CharactersWithSpaces>3193</CharactersWithSpaces>
  <SharedDoc>false</SharedDoc>
  <HLinks>
    <vt:vector size="6" baseType="variant">
      <vt:variant>
        <vt:i4>2293806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http://en.wikipedia.org/wiki/OpenOffice.org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Domácí úkol</dc:title>
  <dc:subject>Informatika</dc:subject>
  <dc:creator>Dana Nejedlová</dc:creator>
  <cp:lastModifiedBy>Dana Nejedlová</cp:lastModifiedBy>
  <cp:revision>123</cp:revision>
  <dcterms:created xsi:type="dcterms:W3CDTF">2012-11-21T08:49:00Z</dcterms:created>
  <dcterms:modified xsi:type="dcterms:W3CDTF">2024-01-12T16:47:00Z</dcterms:modified>
</cp:coreProperties>
</file>